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0211" w14:textId="77777777" w:rsidR="00786DAF" w:rsidRDefault="00786DAF" w:rsidP="002C22B9">
      <w:pPr>
        <w:jc w:val="center"/>
        <w:rPr>
          <w:sz w:val="20"/>
        </w:rPr>
      </w:pPr>
    </w:p>
    <w:p w14:paraId="09B707BE" w14:textId="77777777" w:rsidR="002C22B9" w:rsidRDefault="00000000" w:rsidP="002C22B9">
      <w:pPr>
        <w:jc w:val="center"/>
        <w:rPr>
          <w:sz w:val="20"/>
        </w:rPr>
      </w:pPr>
      <w:r w:rsidRPr="00914649">
        <w:rPr>
          <w:sz w:val="20"/>
        </w:rPr>
        <w:t>Rīgā</w:t>
      </w:r>
    </w:p>
    <w:p w14:paraId="4DB0B507" w14:textId="77777777" w:rsidR="002C22B9" w:rsidRDefault="002C22B9" w:rsidP="007F3771">
      <w:pPr>
        <w:rPr>
          <w:spacing w:val="4"/>
          <w:sz w:val="20"/>
        </w:rPr>
      </w:pPr>
    </w:p>
    <w:tbl>
      <w:tblPr>
        <w:tblW w:w="0" w:type="auto"/>
        <w:tblLook w:val="0000" w:firstRow="0" w:lastRow="0" w:firstColumn="0" w:lastColumn="0" w:noHBand="0" w:noVBand="0"/>
      </w:tblPr>
      <w:tblGrid>
        <w:gridCol w:w="450"/>
        <w:gridCol w:w="2670"/>
        <w:gridCol w:w="708"/>
        <w:gridCol w:w="2727"/>
      </w:tblGrid>
      <w:tr w:rsidR="003826F5" w14:paraId="748C1676" w14:textId="77777777" w:rsidTr="00834390">
        <w:tc>
          <w:tcPr>
            <w:tcW w:w="450" w:type="dxa"/>
            <w:tcBorders>
              <w:top w:val="nil"/>
              <w:left w:val="nil"/>
              <w:bottom w:val="nil"/>
              <w:right w:val="nil"/>
            </w:tcBorders>
          </w:tcPr>
          <w:p w14:paraId="0F1D9F71" w14:textId="77777777" w:rsidR="002C22B9" w:rsidRPr="00615936" w:rsidRDefault="002C22B9" w:rsidP="002C22B9">
            <w:pPr>
              <w:tabs>
                <w:tab w:val="left" w:pos="360"/>
                <w:tab w:val="left" w:pos="3960"/>
              </w:tabs>
              <w:rPr>
                <w:sz w:val="20"/>
              </w:rPr>
            </w:pPr>
          </w:p>
        </w:tc>
        <w:tc>
          <w:tcPr>
            <w:tcW w:w="2670" w:type="dxa"/>
            <w:tcBorders>
              <w:top w:val="nil"/>
              <w:left w:val="nil"/>
              <w:bottom w:val="single" w:sz="4" w:space="0" w:color="auto"/>
              <w:right w:val="nil"/>
            </w:tcBorders>
          </w:tcPr>
          <w:p w14:paraId="7E7A79FA" w14:textId="77777777" w:rsidR="002C22B9" w:rsidRPr="00615936" w:rsidRDefault="00000000" w:rsidP="002C22B9">
            <w:pPr>
              <w:tabs>
                <w:tab w:val="left" w:pos="3960"/>
              </w:tabs>
              <w:rPr>
                <w:szCs w:val="24"/>
              </w:rPr>
            </w:pPr>
            <w:r>
              <w:rPr>
                <w:noProof/>
              </w:rPr>
              <w:t>11.12.2025</w:t>
            </w:r>
          </w:p>
        </w:tc>
        <w:tc>
          <w:tcPr>
            <w:tcW w:w="708" w:type="dxa"/>
            <w:tcBorders>
              <w:top w:val="nil"/>
              <w:left w:val="nil"/>
              <w:bottom w:val="nil"/>
              <w:right w:val="nil"/>
            </w:tcBorders>
          </w:tcPr>
          <w:p w14:paraId="3BA67A69" w14:textId="77777777" w:rsidR="002C22B9" w:rsidRPr="00615936" w:rsidRDefault="00000000" w:rsidP="002C22B9">
            <w:pPr>
              <w:tabs>
                <w:tab w:val="left" w:pos="360"/>
                <w:tab w:val="left" w:pos="3960"/>
              </w:tabs>
              <w:jc w:val="center"/>
              <w:rPr>
                <w:sz w:val="20"/>
              </w:rPr>
            </w:pPr>
            <w:r w:rsidRPr="00615936">
              <w:rPr>
                <w:sz w:val="20"/>
              </w:rPr>
              <w:t>Nr.</w:t>
            </w:r>
          </w:p>
        </w:tc>
        <w:tc>
          <w:tcPr>
            <w:tcW w:w="2727" w:type="dxa"/>
            <w:tcBorders>
              <w:top w:val="nil"/>
              <w:left w:val="nil"/>
              <w:bottom w:val="single" w:sz="4" w:space="0" w:color="auto"/>
              <w:right w:val="nil"/>
            </w:tcBorders>
          </w:tcPr>
          <w:p w14:paraId="7CB2DB18" w14:textId="77777777" w:rsidR="002C22B9" w:rsidRPr="00615936" w:rsidRDefault="00000000" w:rsidP="002C22B9">
            <w:pPr>
              <w:tabs>
                <w:tab w:val="left" w:pos="360"/>
                <w:tab w:val="left" w:pos="3960"/>
              </w:tabs>
              <w:rPr>
                <w:szCs w:val="24"/>
              </w:rPr>
            </w:pPr>
            <w:r>
              <w:rPr>
                <w:noProof/>
              </w:rPr>
              <w:t>7-4/18/3691</w:t>
            </w:r>
          </w:p>
        </w:tc>
      </w:tr>
      <w:tr w:rsidR="003826F5" w14:paraId="6A51544D" w14:textId="77777777" w:rsidTr="00834390">
        <w:trPr>
          <w:trHeight w:val="188"/>
        </w:trPr>
        <w:tc>
          <w:tcPr>
            <w:tcW w:w="450" w:type="dxa"/>
            <w:tcBorders>
              <w:top w:val="nil"/>
              <w:left w:val="nil"/>
              <w:bottom w:val="nil"/>
              <w:right w:val="nil"/>
            </w:tcBorders>
          </w:tcPr>
          <w:p w14:paraId="3D4698B1" w14:textId="77777777" w:rsidR="002C22B9" w:rsidRPr="00615936" w:rsidRDefault="002C22B9" w:rsidP="002C22B9">
            <w:pPr>
              <w:tabs>
                <w:tab w:val="left" w:pos="360"/>
                <w:tab w:val="left" w:pos="3960"/>
              </w:tabs>
              <w:rPr>
                <w:sz w:val="20"/>
              </w:rPr>
            </w:pPr>
          </w:p>
        </w:tc>
        <w:tc>
          <w:tcPr>
            <w:tcW w:w="2670" w:type="dxa"/>
            <w:tcBorders>
              <w:top w:val="single" w:sz="4" w:space="0" w:color="auto"/>
              <w:left w:val="nil"/>
              <w:bottom w:val="nil"/>
              <w:right w:val="nil"/>
            </w:tcBorders>
          </w:tcPr>
          <w:p w14:paraId="585C8076" w14:textId="77777777" w:rsidR="002C22B9" w:rsidRPr="00615936" w:rsidRDefault="002C22B9" w:rsidP="002C22B9">
            <w:pPr>
              <w:tabs>
                <w:tab w:val="left" w:pos="360"/>
                <w:tab w:val="left" w:pos="3960"/>
              </w:tabs>
              <w:rPr>
                <w:sz w:val="20"/>
              </w:rPr>
            </w:pPr>
          </w:p>
        </w:tc>
        <w:tc>
          <w:tcPr>
            <w:tcW w:w="708" w:type="dxa"/>
            <w:tcBorders>
              <w:top w:val="nil"/>
              <w:left w:val="nil"/>
              <w:bottom w:val="nil"/>
              <w:right w:val="nil"/>
            </w:tcBorders>
          </w:tcPr>
          <w:p w14:paraId="6FB9179D" w14:textId="77777777" w:rsidR="002C22B9" w:rsidRPr="00615936" w:rsidRDefault="002C22B9" w:rsidP="002C22B9">
            <w:pPr>
              <w:tabs>
                <w:tab w:val="left" w:pos="360"/>
                <w:tab w:val="left" w:pos="3960"/>
              </w:tabs>
              <w:jc w:val="center"/>
              <w:rPr>
                <w:sz w:val="20"/>
              </w:rPr>
            </w:pPr>
          </w:p>
        </w:tc>
        <w:tc>
          <w:tcPr>
            <w:tcW w:w="2727" w:type="dxa"/>
            <w:tcBorders>
              <w:top w:val="single" w:sz="4" w:space="0" w:color="auto"/>
              <w:left w:val="nil"/>
              <w:bottom w:val="nil"/>
              <w:right w:val="nil"/>
            </w:tcBorders>
          </w:tcPr>
          <w:p w14:paraId="2ACBDFB1" w14:textId="77777777" w:rsidR="002C22B9" w:rsidRPr="00615936" w:rsidRDefault="002C22B9" w:rsidP="002C22B9">
            <w:pPr>
              <w:tabs>
                <w:tab w:val="left" w:pos="360"/>
                <w:tab w:val="left" w:pos="3960"/>
              </w:tabs>
              <w:rPr>
                <w:sz w:val="20"/>
              </w:rPr>
            </w:pPr>
          </w:p>
        </w:tc>
      </w:tr>
      <w:tr w:rsidR="003826F5" w14:paraId="16E36DDC" w14:textId="77777777" w:rsidTr="00834390">
        <w:tc>
          <w:tcPr>
            <w:tcW w:w="450" w:type="dxa"/>
            <w:tcBorders>
              <w:top w:val="nil"/>
              <w:left w:val="nil"/>
              <w:bottom w:val="nil"/>
              <w:right w:val="nil"/>
            </w:tcBorders>
          </w:tcPr>
          <w:p w14:paraId="4D1C075B" w14:textId="77777777" w:rsidR="002C22B9" w:rsidRPr="00615936" w:rsidRDefault="00000000" w:rsidP="002C22B9">
            <w:pPr>
              <w:tabs>
                <w:tab w:val="left" w:pos="360"/>
                <w:tab w:val="left" w:pos="3960"/>
              </w:tabs>
              <w:rPr>
                <w:sz w:val="20"/>
              </w:rPr>
            </w:pPr>
            <w:r w:rsidRPr="00615936">
              <w:rPr>
                <w:sz w:val="20"/>
              </w:rPr>
              <w:t>Uz</w:t>
            </w:r>
          </w:p>
        </w:tc>
        <w:tc>
          <w:tcPr>
            <w:tcW w:w="2670" w:type="dxa"/>
            <w:tcBorders>
              <w:top w:val="nil"/>
              <w:left w:val="nil"/>
              <w:bottom w:val="single" w:sz="4" w:space="0" w:color="auto"/>
              <w:right w:val="nil"/>
            </w:tcBorders>
          </w:tcPr>
          <w:p w14:paraId="475311CA" w14:textId="77777777" w:rsidR="002C22B9" w:rsidRPr="00615936" w:rsidRDefault="00000000" w:rsidP="002C22B9">
            <w:pPr>
              <w:tabs>
                <w:tab w:val="left" w:pos="360"/>
                <w:tab w:val="left" w:pos="3960"/>
              </w:tabs>
              <w:rPr>
                <w:szCs w:val="24"/>
              </w:rPr>
            </w:pPr>
            <w:r>
              <w:rPr>
                <w:noProof/>
              </w:rPr>
              <w:t>26.11.2025</w:t>
            </w:r>
          </w:p>
        </w:tc>
        <w:tc>
          <w:tcPr>
            <w:tcW w:w="708" w:type="dxa"/>
            <w:tcBorders>
              <w:top w:val="nil"/>
              <w:left w:val="nil"/>
              <w:bottom w:val="nil"/>
              <w:right w:val="nil"/>
            </w:tcBorders>
          </w:tcPr>
          <w:p w14:paraId="58DE4328" w14:textId="77777777" w:rsidR="002C22B9" w:rsidRPr="00615936" w:rsidRDefault="00000000" w:rsidP="002C22B9">
            <w:pPr>
              <w:tabs>
                <w:tab w:val="left" w:pos="360"/>
                <w:tab w:val="left" w:pos="3960"/>
              </w:tabs>
              <w:jc w:val="center"/>
              <w:rPr>
                <w:sz w:val="20"/>
              </w:rPr>
            </w:pPr>
            <w:r w:rsidRPr="00615936">
              <w:rPr>
                <w:sz w:val="20"/>
              </w:rPr>
              <w:t>Nr.</w:t>
            </w:r>
          </w:p>
        </w:tc>
        <w:tc>
          <w:tcPr>
            <w:tcW w:w="2727" w:type="dxa"/>
            <w:tcBorders>
              <w:top w:val="nil"/>
              <w:left w:val="nil"/>
              <w:bottom w:val="single" w:sz="4" w:space="0" w:color="auto"/>
              <w:right w:val="nil"/>
            </w:tcBorders>
          </w:tcPr>
          <w:p w14:paraId="61C32807" w14:textId="77777777" w:rsidR="002C22B9" w:rsidRPr="00615936" w:rsidRDefault="00000000" w:rsidP="002C22B9">
            <w:pPr>
              <w:tabs>
                <w:tab w:val="left" w:pos="360"/>
                <w:tab w:val="left" w:pos="3960"/>
              </w:tabs>
              <w:rPr>
                <w:szCs w:val="24"/>
              </w:rPr>
            </w:pPr>
            <w:r>
              <w:rPr>
                <w:noProof/>
                <w:szCs w:val="24"/>
              </w:rPr>
              <w:t>2.1.3.1/25/4199</w:t>
            </w:r>
          </w:p>
        </w:tc>
      </w:tr>
    </w:tbl>
    <w:tbl>
      <w:tblPr>
        <w:tblStyle w:val="Reatab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3826F5" w14:paraId="00CC2956" w14:textId="77777777" w:rsidTr="00B5268A">
        <w:trPr>
          <w:jc w:val="right"/>
        </w:trPr>
        <w:tc>
          <w:tcPr>
            <w:tcW w:w="4644" w:type="dxa"/>
          </w:tcPr>
          <w:p w14:paraId="2DFA582E" w14:textId="77777777" w:rsidR="00834390" w:rsidRPr="00901FD8" w:rsidRDefault="00834390" w:rsidP="00B5268A">
            <w:pPr>
              <w:jc w:val="right"/>
              <w:rPr>
                <w:szCs w:val="24"/>
                <w:lang w:eastAsia="lv-LV"/>
              </w:rPr>
            </w:pPr>
            <w:bookmarkStart w:id="0" w:name="org_nos"/>
          </w:p>
          <w:p w14:paraId="7815AC95" w14:textId="77777777" w:rsidR="00834390" w:rsidRPr="00C756A7" w:rsidRDefault="00000000" w:rsidP="00B5268A">
            <w:pPr>
              <w:jc w:val="right"/>
              <w:rPr>
                <w:b/>
                <w:bCs/>
                <w:szCs w:val="24"/>
                <w:lang w:eastAsia="lv-LV"/>
              </w:rPr>
            </w:pPr>
            <w:r w:rsidRPr="00901FD8">
              <w:rPr>
                <w:szCs w:val="24"/>
                <w:lang w:eastAsia="lv-LV"/>
              </w:rPr>
              <w:t xml:space="preserve"> </w:t>
            </w:r>
            <w:r w:rsidRPr="00C756A7">
              <w:rPr>
                <w:b/>
                <w:bCs/>
                <w:noProof/>
                <w:szCs w:val="24"/>
                <w:lang w:eastAsia="lv-LV"/>
              </w:rPr>
              <w:t>Madonas novada pašvaldība</w:t>
            </w:r>
            <w:r>
              <w:rPr>
                <w:b/>
                <w:bCs/>
                <w:noProof/>
                <w:szCs w:val="24"/>
                <w:lang w:eastAsia="lv-LV"/>
              </w:rPr>
              <w:t>i</w:t>
            </w:r>
          </w:p>
          <w:p w14:paraId="728AC218" w14:textId="77777777" w:rsidR="00834390" w:rsidRPr="00901FD8" w:rsidRDefault="00834390" w:rsidP="00B5268A">
            <w:pPr>
              <w:jc w:val="right"/>
              <w:rPr>
                <w:szCs w:val="24"/>
                <w:lang w:eastAsia="lv-LV"/>
              </w:rPr>
            </w:pPr>
          </w:p>
          <w:p w14:paraId="5044F732" w14:textId="77777777" w:rsidR="00834390" w:rsidRPr="00901FD8" w:rsidRDefault="00000000" w:rsidP="00B5268A">
            <w:pPr>
              <w:jc w:val="right"/>
              <w:rPr>
                <w:szCs w:val="24"/>
                <w:lang w:eastAsia="lv-LV"/>
              </w:rPr>
            </w:pPr>
            <w:r w:rsidRPr="00901FD8">
              <w:rPr>
                <w:szCs w:val="24"/>
                <w:lang w:eastAsia="lv-LV"/>
              </w:rPr>
              <w:t xml:space="preserve">Paziņošanai </w:t>
            </w:r>
            <w:proofErr w:type="spellStart"/>
            <w:r w:rsidRPr="00901FD8">
              <w:rPr>
                <w:szCs w:val="24"/>
                <w:lang w:eastAsia="lv-LV"/>
              </w:rPr>
              <w:t>eAdresē</w:t>
            </w:r>
            <w:proofErr w:type="spellEnd"/>
          </w:p>
        </w:tc>
      </w:tr>
      <w:bookmarkEnd w:id="0"/>
    </w:tbl>
    <w:p w14:paraId="335A787F" w14:textId="77777777" w:rsidR="00834390" w:rsidRDefault="00834390" w:rsidP="00834390">
      <w:pPr>
        <w:rPr>
          <w:spacing w:val="4"/>
          <w:sz w:val="20"/>
        </w:rPr>
      </w:pPr>
    </w:p>
    <w:p w14:paraId="30CD7914" w14:textId="77777777" w:rsidR="00834390" w:rsidRPr="007F3771" w:rsidRDefault="00834390" w:rsidP="00834390">
      <w:pPr>
        <w:rPr>
          <w:spacing w:val="4"/>
          <w:sz w:val="20"/>
        </w:rPr>
      </w:pPr>
    </w:p>
    <w:tbl>
      <w:tblPr>
        <w:tblStyle w:val="Reatabula"/>
        <w:tblW w:w="0" w:type="auto"/>
        <w:tblInd w:w="-142" w:type="dxa"/>
        <w:tblLook w:val="04A0" w:firstRow="1" w:lastRow="0" w:firstColumn="1" w:lastColumn="0" w:noHBand="0" w:noVBand="1"/>
      </w:tblPr>
      <w:tblGrid>
        <w:gridCol w:w="4645"/>
      </w:tblGrid>
      <w:tr w:rsidR="003826F5" w14:paraId="0A2EA94F" w14:textId="77777777" w:rsidTr="00B5268A">
        <w:tc>
          <w:tcPr>
            <w:tcW w:w="4645" w:type="dxa"/>
            <w:tcBorders>
              <w:top w:val="nil"/>
              <w:left w:val="nil"/>
              <w:bottom w:val="nil"/>
              <w:right w:val="nil"/>
            </w:tcBorders>
          </w:tcPr>
          <w:p w14:paraId="55AACA8B" w14:textId="77777777" w:rsidR="00834390" w:rsidRDefault="00000000" w:rsidP="00B5268A">
            <w:pPr>
              <w:jc w:val="left"/>
              <w:rPr>
                <w:szCs w:val="24"/>
                <w:lang w:eastAsia="lv-LV"/>
              </w:rPr>
            </w:pPr>
            <w:r w:rsidRPr="00A97CA0">
              <w:rPr>
                <w:i/>
                <w:iCs/>
                <w:szCs w:val="24"/>
              </w:rPr>
              <w:t xml:space="preserve">Par saistošo noteikumu </w:t>
            </w:r>
            <w:r w:rsidRPr="00C756A7">
              <w:rPr>
                <w:i/>
                <w:iCs/>
                <w:szCs w:val="24"/>
              </w:rPr>
              <w:t>“Par pašvaldības nodevu par būvatļaujas izdošanu vai būvniecības ieceres akceptu”</w:t>
            </w:r>
            <w:r>
              <w:rPr>
                <w:i/>
                <w:iCs/>
                <w:szCs w:val="24"/>
              </w:rPr>
              <w:t xml:space="preserve"> </w:t>
            </w:r>
            <w:r w:rsidRPr="00A97CA0">
              <w:rPr>
                <w:i/>
                <w:iCs/>
                <w:szCs w:val="24"/>
              </w:rPr>
              <w:t>projektu</w:t>
            </w:r>
            <w:r w:rsidRPr="004E7972">
              <w:rPr>
                <w:szCs w:val="24"/>
                <w:lang w:eastAsia="lv-LV"/>
              </w:rPr>
              <w:t xml:space="preserve"> </w:t>
            </w:r>
          </w:p>
          <w:p w14:paraId="142929A0" w14:textId="77777777" w:rsidR="00834390" w:rsidRPr="004E7972" w:rsidRDefault="00834390" w:rsidP="00B5268A">
            <w:pPr>
              <w:jc w:val="left"/>
              <w:rPr>
                <w:szCs w:val="24"/>
                <w:lang w:eastAsia="lv-LV"/>
              </w:rPr>
            </w:pPr>
          </w:p>
        </w:tc>
      </w:tr>
    </w:tbl>
    <w:p w14:paraId="3B21E86F" w14:textId="77777777" w:rsidR="00834390" w:rsidRDefault="00000000" w:rsidP="00834390">
      <w:pPr>
        <w:rPr>
          <w:rFonts w:eastAsia="Calibri"/>
          <w:szCs w:val="24"/>
        </w:rPr>
      </w:pPr>
      <w:bookmarkStart w:id="1" w:name="_Hlk160114290"/>
      <w:r>
        <w:rPr>
          <w:szCs w:val="24"/>
        </w:rPr>
        <w:t xml:space="preserve">        </w:t>
      </w:r>
      <w:r w:rsidRPr="001909D0">
        <w:rPr>
          <w:szCs w:val="24"/>
        </w:rPr>
        <w:t>Finanšu ministrija 202</w:t>
      </w:r>
      <w:r>
        <w:rPr>
          <w:szCs w:val="24"/>
        </w:rPr>
        <w:t>5</w:t>
      </w:r>
      <w:r w:rsidRPr="001909D0">
        <w:rPr>
          <w:szCs w:val="24"/>
        </w:rPr>
        <w:t xml:space="preserve">.gada </w:t>
      </w:r>
      <w:r>
        <w:rPr>
          <w:szCs w:val="24"/>
        </w:rPr>
        <w:t>26.novembrī</w:t>
      </w:r>
      <w:r w:rsidRPr="001909D0">
        <w:rPr>
          <w:szCs w:val="24"/>
        </w:rPr>
        <w:t xml:space="preserve"> ir saņēmusi </w:t>
      </w:r>
      <w:r>
        <w:rPr>
          <w:szCs w:val="24"/>
        </w:rPr>
        <w:t>Madonas</w:t>
      </w:r>
      <w:r w:rsidRPr="001909D0">
        <w:rPr>
          <w:bCs/>
          <w:szCs w:val="24"/>
        </w:rPr>
        <w:t xml:space="preserve"> novada </w:t>
      </w:r>
      <w:r>
        <w:rPr>
          <w:bCs/>
          <w:szCs w:val="24"/>
        </w:rPr>
        <w:t>pašvaldības (turpmāk – pašvaldība)</w:t>
      </w:r>
      <w:r w:rsidRPr="001909D0">
        <w:rPr>
          <w:szCs w:val="24"/>
        </w:rPr>
        <w:t xml:space="preserve"> </w:t>
      </w:r>
      <w:r w:rsidRPr="001909D0">
        <w:rPr>
          <w:bCs/>
          <w:szCs w:val="24"/>
        </w:rPr>
        <w:t>vēstuli</w:t>
      </w:r>
      <w:r>
        <w:rPr>
          <w:bCs/>
          <w:szCs w:val="24"/>
        </w:rPr>
        <w:t xml:space="preserve"> Nr.</w:t>
      </w:r>
      <w:r w:rsidRPr="00C756A7">
        <w:rPr>
          <w:noProof/>
          <w:szCs w:val="24"/>
        </w:rPr>
        <w:t>2.1.3.1</w:t>
      </w:r>
      <w:r>
        <w:rPr>
          <w:noProof/>
          <w:szCs w:val="24"/>
        </w:rPr>
        <w:t>/</w:t>
      </w:r>
      <w:r w:rsidRPr="00C756A7">
        <w:rPr>
          <w:noProof/>
          <w:szCs w:val="24"/>
        </w:rPr>
        <w:t>25</w:t>
      </w:r>
      <w:r>
        <w:rPr>
          <w:noProof/>
          <w:szCs w:val="24"/>
        </w:rPr>
        <w:t>/</w:t>
      </w:r>
      <w:r w:rsidRPr="00C756A7">
        <w:rPr>
          <w:noProof/>
          <w:szCs w:val="24"/>
        </w:rPr>
        <w:t>4199</w:t>
      </w:r>
      <w:r>
        <w:rPr>
          <w:noProof/>
          <w:szCs w:val="24"/>
        </w:rPr>
        <w:t xml:space="preserve"> </w:t>
      </w:r>
      <w:r>
        <w:rPr>
          <w:bCs/>
          <w:szCs w:val="24"/>
        </w:rPr>
        <w:t xml:space="preserve">ar </w:t>
      </w:r>
      <w:r w:rsidRPr="00544B16">
        <w:rPr>
          <w:bCs/>
          <w:szCs w:val="24"/>
        </w:rPr>
        <w:t>saistošo noteikumu “</w:t>
      </w:r>
      <w:r w:rsidRPr="00C756A7">
        <w:rPr>
          <w:bCs/>
          <w:szCs w:val="24"/>
        </w:rPr>
        <w:t>Par pašvaldības nodevu par būvatļaujas izdošanu vai būvniecības ieceres akceptu”</w:t>
      </w:r>
      <w:r w:rsidRPr="00544B16">
        <w:rPr>
          <w:bCs/>
          <w:szCs w:val="24"/>
        </w:rPr>
        <w:t xml:space="preserve"> projektu </w:t>
      </w:r>
      <w:r>
        <w:rPr>
          <w:rFonts w:eastAsia="Calibri"/>
          <w:szCs w:val="24"/>
        </w:rPr>
        <w:t xml:space="preserve">(turpmāk - saistošo noteikumu projekts), ar kuru pašvaldība lūdz sniegt viedokli par saistošo noteikumu projektu. </w:t>
      </w:r>
    </w:p>
    <w:p w14:paraId="1EDEAEA9" w14:textId="77777777" w:rsidR="00834390" w:rsidRPr="0040576E" w:rsidRDefault="00000000" w:rsidP="00834390">
      <w:pPr>
        <w:rPr>
          <w:szCs w:val="24"/>
        </w:rPr>
      </w:pPr>
      <w:r>
        <w:rPr>
          <w:rFonts w:eastAsia="Calibri"/>
          <w:szCs w:val="24"/>
        </w:rPr>
        <w:t xml:space="preserve">        </w:t>
      </w:r>
      <w:r w:rsidRPr="00A97CA0">
        <w:rPr>
          <w:rFonts w:eastAsia="Calibri"/>
          <w:szCs w:val="24"/>
        </w:rPr>
        <w:t xml:space="preserve">Finanšu ministrija saskaņā ar Komercdarbības atbalsta kontroles likuma (turpmāk – KAKL) </w:t>
      </w:r>
      <w:r w:rsidRPr="001909D0">
        <w:rPr>
          <w:szCs w:val="24"/>
        </w:rPr>
        <w:t xml:space="preserve">9.panta pirmās daļas 1.punktam ir veikusi saistošo noteikumu sākotnējo </w:t>
      </w:r>
      <w:proofErr w:type="spellStart"/>
      <w:r w:rsidRPr="001909D0">
        <w:rPr>
          <w:szCs w:val="24"/>
        </w:rPr>
        <w:t>izvērtējumu</w:t>
      </w:r>
      <w:proofErr w:type="spellEnd"/>
      <w:r>
        <w:rPr>
          <w:szCs w:val="24"/>
        </w:rPr>
        <w:t xml:space="preserve"> un  sniedz šādu viedokli.</w:t>
      </w:r>
    </w:p>
    <w:p w14:paraId="5FDF560B" w14:textId="77777777" w:rsidR="00834390" w:rsidRPr="00233B02" w:rsidRDefault="00000000" w:rsidP="00834390">
      <w:pPr>
        <w:rPr>
          <w:szCs w:val="24"/>
        </w:rPr>
      </w:pPr>
      <w:r>
        <w:t xml:space="preserve">        L</w:t>
      </w:r>
      <w:r w:rsidRPr="00D47010">
        <w:t>ai secinātu, vai publisk</w:t>
      </w:r>
      <w:r>
        <w:t>ā</w:t>
      </w:r>
      <w:r w:rsidRPr="00D47010">
        <w:t xml:space="preserve"> finansējuma</w:t>
      </w:r>
      <w:r>
        <w:t xml:space="preserve"> piešķiršanā ir</w:t>
      </w:r>
      <w:r w:rsidRPr="00D47010">
        <w:t xml:space="preserve"> jāpiemēro komercdarbības atbalsta regulējuma nosacījumi, vispirms </w:t>
      </w:r>
      <w:r>
        <w:t xml:space="preserve">ir </w:t>
      </w:r>
      <w:r w:rsidRPr="00D47010">
        <w:t>jāanalizē, vai plānotais atbalsts saistīts ar saimnieciskās darbības veikšanu.</w:t>
      </w:r>
      <w:r>
        <w:t xml:space="preserve"> Saskaņā ar Madonas</w:t>
      </w:r>
      <w:r w:rsidRPr="00A94FEC">
        <w:t xml:space="preserve"> novada domes</w:t>
      </w:r>
      <w:r>
        <w:t xml:space="preserve"> virzīto </w:t>
      </w:r>
      <w:r>
        <w:rPr>
          <w:bCs/>
        </w:rPr>
        <w:t>saistošo noteikumu projektu</w:t>
      </w:r>
      <w:r w:rsidRPr="00DE2BD9">
        <w:rPr>
          <w:bCs/>
        </w:rPr>
        <w:t xml:space="preserve"> </w:t>
      </w:r>
      <w:r>
        <w:rPr>
          <w:bCs/>
        </w:rPr>
        <w:t xml:space="preserve">paredzēts, ka </w:t>
      </w:r>
      <w:r w:rsidRPr="004005A9">
        <w:rPr>
          <w:bCs/>
          <w:i/>
          <w:iCs/>
        </w:rPr>
        <w:t>“</w:t>
      </w:r>
      <w:r w:rsidRPr="005C59CE">
        <w:rPr>
          <w:i/>
          <w:iCs/>
          <w:szCs w:val="24"/>
        </w:rPr>
        <w:t>7.</w:t>
      </w:r>
      <w:r>
        <w:rPr>
          <w:i/>
          <w:iCs/>
          <w:szCs w:val="24"/>
        </w:rPr>
        <w:t xml:space="preserve"> </w:t>
      </w:r>
      <w:r w:rsidRPr="005C59CE">
        <w:rPr>
          <w:i/>
          <w:iCs/>
          <w:szCs w:val="24"/>
        </w:rPr>
        <w:t>No nodevas samaksas tiek atbrīvoti būvniecības ierosinātāji</w:t>
      </w:r>
      <w:r>
        <w:rPr>
          <w:i/>
          <w:iCs/>
          <w:szCs w:val="24"/>
        </w:rPr>
        <w:t xml:space="preserve">: </w:t>
      </w:r>
      <w:r w:rsidRPr="005C59CE">
        <w:rPr>
          <w:i/>
          <w:iCs/>
          <w:szCs w:val="24"/>
        </w:rPr>
        <w:t>7.1.</w:t>
      </w:r>
      <w:r>
        <w:rPr>
          <w:i/>
          <w:iCs/>
          <w:szCs w:val="24"/>
        </w:rPr>
        <w:t xml:space="preserve"> </w:t>
      </w:r>
      <w:r w:rsidRPr="005C59CE">
        <w:rPr>
          <w:i/>
          <w:iCs/>
          <w:szCs w:val="24"/>
        </w:rPr>
        <w:t>Madonas novada pašvaldība</w:t>
      </w:r>
      <w:r w:rsidRPr="004005A9">
        <w:rPr>
          <w:i/>
          <w:iCs/>
          <w:szCs w:val="24"/>
        </w:rPr>
        <w:t>”</w:t>
      </w:r>
      <w:r>
        <w:rPr>
          <w:szCs w:val="24"/>
        </w:rPr>
        <w:t>.</w:t>
      </w:r>
      <w:r w:rsidRPr="00A94FEC">
        <w:rPr>
          <w:szCs w:val="24"/>
        </w:rPr>
        <w:t xml:space="preserve"> </w:t>
      </w:r>
      <w:r w:rsidRPr="003D7155">
        <w:rPr>
          <w:szCs w:val="24"/>
        </w:rPr>
        <w:t>Vēršam uzmanību, ka Eiropas Komisija savā dokumentā “Komisijas paziņojums par Līguma par Eiropas Savienības darbību 107.panta 1.punktā minēto valsts atbalsta jēdzienu” (2016/C 262/01)</w:t>
      </w:r>
      <w:r>
        <w:rPr>
          <w:rStyle w:val="Vresatsauce"/>
          <w:szCs w:val="24"/>
        </w:rPr>
        <w:footnoteReference w:id="1"/>
      </w:r>
      <w:r>
        <w:rPr>
          <w:szCs w:val="24"/>
        </w:rPr>
        <w:t xml:space="preserve"> (turpmāk – EK paziņojums)</w:t>
      </w:r>
      <w:r w:rsidRPr="003D7155">
        <w:rPr>
          <w:szCs w:val="24"/>
        </w:rPr>
        <w:t xml:space="preserve">, kas faktiski ir Eiropas Savienības (turpmāk – ES) tiesu prakses apkopojums, ir sniegusi skaidrojumu (dodot atsauces uz konkrētām ES tiesu lietām) par to, ko komercdarbības atbalsta kontekstā saprot ar saimnieciskās darbības veikšanu un ES tiesa uzņēmumus konsekventi ir definējusi kā subjektus, kas veic saimniecisko darbību, neatkarīgi no to juridiskā statusa un finansēšanas veida. Līdz ar to </w:t>
      </w:r>
      <w:r w:rsidRPr="003D7155">
        <w:rPr>
          <w:szCs w:val="24"/>
          <w:u w:val="single"/>
        </w:rPr>
        <w:t>tas, vai atsevišķs subjekts ir uzskatāms par uzņēmumu, ir pilnībā atkarīgs no tā veikto darbību rakstura.</w:t>
      </w:r>
      <w:r w:rsidRPr="003D7155">
        <w:rPr>
          <w:szCs w:val="24"/>
        </w:rPr>
        <w:t xml:space="preserve"> Pirmkārt, attiecīgā subjekta statuss saskaņā ar valsts tiesību aktiem nav noteicošs. Piemēram, subjekts, kas saskaņā ar valsts tiesību aktiem klasificēts kā asociācija vai sporta klubs, Līguma par Eiropas Savienības darbību 107.panta 1.punkta nozīmē tomēr var būt uzskatāms par uzņēmumu. Tas pats attiecas uz subjektu, kas oficiāli pieder pie valsts pārvaldes. Vienīgais būtiskais kritērijs ir tas, vai subjekts veic saimniecisko darbību. Otrkārt, valsts atbalsta noteikumu piemērošana nav atkarīga no tā, vai subjekts ir izveidots ar mērķi gūt peļņu. Arī bezpeļņas subjekti var tirgū piedāvāt preces un pakalpojumus. Treškārt, tas, vai subjektu klasificē kā uzņēmumu, vienmēr ir atkarīgs no </w:t>
      </w:r>
      <w:r w:rsidRPr="003D7155">
        <w:rPr>
          <w:szCs w:val="24"/>
        </w:rPr>
        <w:lastRenderedPageBreak/>
        <w:t xml:space="preserve">konkrētās darbības. Subjekts, kas veic gan saimniecisko, gan nesaimniecisko darbību, ir uzskatāms par uzņēmumu vienīgi attiecībā uz tā saimniecisko darbību. Skaidrojot nošķīrumu starp saimniecisko un nesaimniecisko darbību, ES tiesa ir konsekventi spriedusi, ka saimnieciskā darbība ir ikviena darbība, kas ietver preču un pakalpojumu piedāvāšanu tirgū. Vēršam pašvaldības uzmanību, ka ne visas Pašvaldību likuma 4.pantā minētās autonomās funkcijas ir tādas, kas nav saistītas ar saimnieciskās darbības veikšanu un tādējādi publiskā finansējuma piešķiršana tām var radīt komercdarbības atbalsta risku. </w:t>
      </w:r>
      <w:r>
        <w:rPr>
          <w:szCs w:val="24"/>
        </w:rPr>
        <w:t xml:space="preserve">Piemēram, pašvaldības darbības tās nekustamo īpašumu apsaimniekošanas/attīstīšanas jomā, attiecībā uz kuru Latvijā pastāv tirgus. </w:t>
      </w:r>
      <w:r w:rsidRPr="003D7155">
        <w:rPr>
          <w:szCs w:val="24"/>
        </w:rPr>
        <w:t xml:space="preserve">Attiecīgi, ja tiek sniegts atbalsts saimnieciskai darbībai un tas saskaņā ar KAKL 5.pantā noteiktajām komercdarbības atbalsta pazīmēm kvalificējas kā komercdarbības atbalsts, to sniedzot būtu jāpiemēro komercdarbības atbalsta nosacījumi neatkarīgi no tā, vai šī saimnieciskā darbība tiek vai netiek uzskatīta par pašvaldības autonomo funkciju. </w:t>
      </w:r>
      <w:r>
        <w:rPr>
          <w:szCs w:val="24"/>
        </w:rPr>
        <w:t xml:space="preserve">Attiecīgi pašvaldībai būtu jāvērtē saistošo noteikumu projekta 7.1.apakšpunktā minētais gadījums, kad tā no </w:t>
      </w:r>
      <w:r w:rsidRPr="002C7D64">
        <w:rPr>
          <w:szCs w:val="24"/>
        </w:rPr>
        <w:t>nodevas</w:t>
      </w:r>
      <w:r w:rsidRPr="002C7D64">
        <w:rPr>
          <w:spacing w:val="-12"/>
          <w:szCs w:val="24"/>
        </w:rPr>
        <w:t xml:space="preserve"> </w:t>
      </w:r>
      <w:r w:rsidRPr="002C7D64">
        <w:rPr>
          <w:szCs w:val="24"/>
        </w:rPr>
        <w:t>samaksas</w:t>
      </w:r>
      <w:r w:rsidRPr="002C7D64">
        <w:rPr>
          <w:spacing w:val="-13"/>
          <w:szCs w:val="24"/>
        </w:rPr>
        <w:t xml:space="preserve"> </w:t>
      </w:r>
      <w:r>
        <w:rPr>
          <w:szCs w:val="24"/>
        </w:rPr>
        <w:t>plāno</w:t>
      </w:r>
      <w:r w:rsidRPr="002C7D64">
        <w:rPr>
          <w:spacing w:val="-12"/>
          <w:szCs w:val="24"/>
        </w:rPr>
        <w:t xml:space="preserve"> </w:t>
      </w:r>
      <w:r w:rsidRPr="002C7D64">
        <w:rPr>
          <w:szCs w:val="24"/>
        </w:rPr>
        <w:t>atbrīvot</w:t>
      </w:r>
      <w:r>
        <w:rPr>
          <w:szCs w:val="24"/>
        </w:rPr>
        <w:t xml:space="preserve"> </w:t>
      </w:r>
      <w:r w:rsidRPr="002C7D64">
        <w:rPr>
          <w:szCs w:val="24"/>
        </w:rPr>
        <w:t>būvni</w:t>
      </w:r>
      <w:r>
        <w:rPr>
          <w:szCs w:val="24"/>
        </w:rPr>
        <w:t>ecības ierosinātāju un g</w:t>
      </w:r>
      <w:r w:rsidRPr="00EC0695">
        <w:t xml:space="preserve">adījumā, ja </w:t>
      </w:r>
      <w:r>
        <w:t>atbalstu plānots sniegt saimnieciskās darbības veicējam</w:t>
      </w:r>
      <w:r w:rsidRPr="00EC0695">
        <w:t xml:space="preserve">, </w:t>
      </w:r>
      <w:r>
        <w:t xml:space="preserve">pasākums ir </w:t>
      </w:r>
      <w:r>
        <w:rPr>
          <w:szCs w:val="24"/>
        </w:rPr>
        <w:t>jā</w:t>
      </w:r>
      <w:r w:rsidRPr="00663D7B">
        <w:rPr>
          <w:szCs w:val="24"/>
        </w:rPr>
        <w:t>vērtē</w:t>
      </w:r>
      <w:r>
        <w:rPr>
          <w:szCs w:val="24"/>
        </w:rPr>
        <w:t xml:space="preserve"> </w:t>
      </w:r>
      <w:r w:rsidRPr="006557FE">
        <w:rPr>
          <w:szCs w:val="24"/>
        </w:rPr>
        <w:t xml:space="preserve">atbilstoši </w:t>
      </w:r>
      <w:r>
        <w:rPr>
          <w:szCs w:val="24"/>
        </w:rPr>
        <w:t xml:space="preserve">KAKL </w:t>
      </w:r>
      <w:r w:rsidRPr="006557FE">
        <w:rPr>
          <w:szCs w:val="24"/>
        </w:rPr>
        <w:t>5.pantā noteiktajām četrām kumulatīvajām pazīmēm</w:t>
      </w:r>
      <w:r>
        <w:rPr>
          <w:szCs w:val="24"/>
        </w:rPr>
        <w:t xml:space="preserve">. </w:t>
      </w:r>
      <w:proofErr w:type="spellStart"/>
      <w:r>
        <w:rPr>
          <w:szCs w:val="24"/>
        </w:rPr>
        <w:t>Pirmšķietami</w:t>
      </w:r>
      <w:proofErr w:type="spellEnd"/>
      <w:r>
        <w:rPr>
          <w:szCs w:val="24"/>
        </w:rPr>
        <w:t xml:space="preserve">, varētu secināt, ka attiecībā uz </w:t>
      </w:r>
      <w:r>
        <w:rPr>
          <w:rFonts w:eastAsia="Calibri"/>
          <w:szCs w:val="24"/>
        </w:rPr>
        <w:t>saistošo noteikumu projekt</w:t>
      </w:r>
      <w:r>
        <w:rPr>
          <w:szCs w:val="24"/>
        </w:rPr>
        <w:t>ā minēto nodevas atbrīvojumu pašvaldībai kā saimnieciskās darbības veicējam vienlaikus izpildās visas četras pazīmes un pasākums kvalificētos kā komercdarbības atbalsts, proti</w:t>
      </w:r>
      <w:r w:rsidRPr="00233B02">
        <w:rPr>
          <w:szCs w:val="24"/>
        </w:rPr>
        <w:t>:</w:t>
      </w:r>
    </w:p>
    <w:p w14:paraId="15F4DD3C" w14:textId="77777777" w:rsidR="00834390" w:rsidRPr="00E70BDE" w:rsidRDefault="00000000" w:rsidP="00834390">
      <w:pPr>
        <w:pStyle w:val="Sarakstarindkopa"/>
        <w:numPr>
          <w:ilvl w:val="0"/>
          <w:numId w:val="1"/>
        </w:numPr>
        <w:spacing w:before="120" w:after="120"/>
        <w:rPr>
          <w:szCs w:val="24"/>
        </w:rPr>
      </w:pPr>
      <w:r w:rsidRPr="00E70BDE">
        <w:rPr>
          <w:szCs w:val="24"/>
        </w:rPr>
        <w:t>saistošo noteikumu projekts paredz atbrīvojumu no nodevas samaksas, kas ir uzskatāms par publisko līdzekļu piešķiršanu. Skaidrojam, ka saskaņā ar EK paziņojuma 51.punktā noteikto: “</w:t>
      </w:r>
      <w:r w:rsidRPr="00E70BDE">
        <w:rPr>
          <w:i/>
          <w:iCs/>
          <w:szCs w:val="24"/>
        </w:rPr>
        <w:t>Atteikšanās no tādiem ieņēmumiem, kuri parastā gadījumā tiktu samaksāti valstij [pašvaldībai], ir uzskatāma par valsts [pašvaldības] līdzekļu piešķiršanu.”</w:t>
      </w:r>
      <w:r w:rsidRPr="00E70BDE">
        <w:rPr>
          <w:szCs w:val="24"/>
        </w:rPr>
        <w:t xml:space="preserve"> līdz ar to </w:t>
      </w:r>
      <w:r w:rsidRPr="00E70BDE">
        <w:rPr>
          <w:b/>
          <w:bCs/>
          <w:szCs w:val="24"/>
        </w:rPr>
        <w:t>izpildās komercdarbības atbalsta 1.pazīme – publisko resursu esamība</w:t>
      </w:r>
      <w:r w:rsidRPr="00E70BDE">
        <w:rPr>
          <w:szCs w:val="24"/>
        </w:rPr>
        <w:t xml:space="preserve"> (KAKL 5.panta 1.punkts);</w:t>
      </w:r>
    </w:p>
    <w:p w14:paraId="6DD7F639" w14:textId="77777777" w:rsidR="00834390" w:rsidRPr="00E70BDE" w:rsidRDefault="00000000" w:rsidP="00834390">
      <w:pPr>
        <w:pStyle w:val="Sarakstarindkopa"/>
        <w:numPr>
          <w:ilvl w:val="0"/>
          <w:numId w:val="1"/>
        </w:numPr>
        <w:spacing w:before="120" w:after="120"/>
        <w:rPr>
          <w:szCs w:val="24"/>
        </w:rPr>
      </w:pPr>
      <w:r w:rsidRPr="00E70BDE">
        <w:rPr>
          <w:szCs w:val="24"/>
        </w:rPr>
        <w:t>preču un pakalpojumu piedāvāšana tirgū kvalificējas kā saimnieciskā darbība un, sniedzot atbalstu saimnieciskās darbības veicējiem, tiem tiks radīta ekonomiskā priekšrocība (EK paziņojuma 66.punktā skaidrots, ka “</w:t>
      </w:r>
      <w:r w:rsidRPr="00E70BDE">
        <w:rPr>
          <w:i/>
          <w:iCs/>
          <w:szCs w:val="24"/>
        </w:rPr>
        <w:t>priekšrocība Līguma 107.panta 1.punkta nozīmē ir ikviens saimnieciskais labums, ko uzņēmums nebūtu varējis gūt parastos tirgus apstākļos</w:t>
      </w:r>
      <w:r w:rsidRPr="00E70BDE">
        <w:rPr>
          <w:szCs w:val="24"/>
        </w:rPr>
        <w:t xml:space="preserve">”). Attiecīgi </w:t>
      </w:r>
      <w:r w:rsidRPr="00E70BDE">
        <w:rPr>
          <w:b/>
          <w:bCs/>
          <w:szCs w:val="24"/>
        </w:rPr>
        <w:t>izpildās komercdarbības atbalsta 2.pazīme –</w:t>
      </w:r>
      <w:r w:rsidRPr="00E70BDE">
        <w:rPr>
          <w:szCs w:val="24"/>
        </w:rPr>
        <w:t xml:space="preserve"> </w:t>
      </w:r>
      <w:r w:rsidRPr="00E70BDE">
        <w:rPr>
          <w:b/>
          <w:bCs/>
          <w:szCs w:val="24"/>
        </w:rPr>
        <w:t xml:space="preserve">ekonomiskā priekšrocība </w:t>
      </w:r>
      <w:r w:rsidRPr="00E70BDE">
        <w:rPr>
          <w:szCs w:val="24"/>
        </w:rPr>
        <w:t xml:space="preserve">(KAKL 5.panta 2.punkts); </w:t>
      </w:r>
    </w:p>
    <w:p w14:paraId="110DE817" w14:textId="77777777" w:rsidR="00834390" w:rsidRPr="00E70BDE" w:rsidRDefault="00000000" w:rsidP="00834390">
      <w:pPr>
        <w:pStyle w:val="Sarakstarindkopa"/>
        <w:numPr>
          <w:ilvl w:val="0"/>
          <w:numId w:val="1"/>
        </w:numPr>
        <w:spacing w:before="120" w:after="120"/>
        <w:rPr>
          <w:szCs w:val="24"/>
        </w:rPr>
      </w:pPr>
      <w:r w:rsidRPr="00E70BDE">
        <w:rPr>
          <w:szCs w:val="24"/>
        </w:rPr>
        <w:t>attiecīgais atbrīvojums no nodevas samaksas tiek sniegts tikai daļai saimnieciskās darbības veicēju – tādiem, kas atbilst saistošo noteikumu projektā ietvertajiem nosacījumam, tādējādi pasākums paredz</w:t>
      </w:r>
      <w:r w:rsidRPr="00E70BDE">
        <w:rPr>
          <w:szCs w:val="24"/>
          <w:shd w:val="clear" w:color="auto" w:fill="FFFFFF"/>
        </w:rPr>
        <w:t xml:space="preserve"> selektīvu priekšrocības piešķiršanu</w:t>
      </w:r>
      <w:r w:rsidRPr="00E70BDE">
        <w:rPr>
          <w:szCs w:val="24"/>
        </w:rPr>
        <w:t xml:space="preserve"> un </w:t>
      </w:r>
      <w:r w:rsidRPr="00E70BDE">
        <w:rPr>
          <w:b/>
          <w:bCs/>
          <w:szCs w:val="24"/>
        </w:rPr>
        <w:t>izpildās komercdarbības atbalsta 3.pazīme – selektivitāte</w:t>
      </w:r>
      <w:r w:rsidRPr="00E70BDE">
        <w:rPr>
          <w:szCs w:val="24"/>
        </w:rPr>
        <w:t xml:space="preserve"> (KAKL 5.panta 3.punkts);</w:t>
      </w:r>
    </w:p>
    <w:p w14:paraId="5D8D65BD" w14:textId="77777777" w:rsidR="00834390" w:rsidRPr="00E70BDE" w:rsidRDefault="00000000" w:rsidP="00834390">
      <w:pPr>
        <w:pStyle w:val="Sarakstarindkopa"/>
        <w:numPr>
          <w:ilvl w:val="0"/>
          <w:numId w:val="1"/>
        </w:numPr>
        <w:spacing w:before="120" w:after="120"/>
        <w:rPr>
          <w:szCs w:val="24"/>
        </w:rPr>
      </w:pPr>
      <w:r w:rsidRPr="00E70BDE">
        <w:rPr>
          <w:szCs w:val="24"/>
        </w:rPr>
        <w:t xml:space="preserve">attiecībā uz </w:t>
      </w:r>
      <w:r w:rsidRPr="00E70BDE">
        <w:rPr>
          <w:b/>
          <w:bCs/>
          <w:szCs w:val="24"/>
        </w:rPr>
        <w:t>komercdarbības atbalsta 4.pazīmi – ietekmi uz tirdzniecību un konkurenci</w:t>
      </w:r>
      <w:r w:rsidRPr="00E70BDE">
        <w:rPr>
          <w:szCs w:val="24"/>
        </w:rPr>
        <w:t xml:space="preserve"> (KAKL 5.panta 4.punkts) skaidrojam, ka Eiropas Komisija norāda, ka nekustamo īpašumu tirgus ir tāds, kuram ir ietekme uz tirdzniecību un konkurenci ES iekšējā tirgū. </w:t>
      </w:r>
    </w:p>
    <w:p w14:paraId="1484E405" w14:textId="77777777" w:rsidR="00834390" w:rsidRPr="00E70BDE" w:rsidRDefault="00000000" w:rsidP="00834390">
      <w:pPr>
        <w:spacing w:before="120" w:after="120"/>
        <w:rPr>
          <w:szCs w:val="24"/>
        </w:rPr>
      </w:pPr>
      <w:r>
        <w:rPr>
          <w:szCs w:val="24"/>
        </w:rPr>
        <w:t xml:space="preserve">Līdz ar to, secināms, ka gadījumā, ja plānotais nodevas atbrīvojums ir paredzēts pašvaldībai kā saimnieciskās darbības veicējam, attiecībā uz to </w:t>
      </w:r>
      <w:r w:rsidRPr="00E70BDE">
        <w:rPr>
          <w:szCs w:val="24"/>
        </w:rPr>
        <w:t>izpild</w:t>
      </w:r>
      <w:r>
        <w:rPr>
          <w:szCs w:val="24"/>
        </w:rPr>
        <w:t>ā</w:t>
      </w:r>
      <w:r w:rsidRPr="00E70BDE">
        <w:rPr>
          <w:szCs w:val="24"/>
        </w:rPr>
        <w:t xml:space="preserve">s visi iepriekšminētie komercdarbības atbalstu raksturojošie nosacījumi un saistošo noteikumu projektā paredzētā publisko līdzekļu piešķiršana </w:t>
      </w:r>
      <w:r>
        <w:rPr>
          <w:szCs w:val="24"/>
        </w:rPr>
        <w:t>ir</w:t>
      </w:r>
      <w:r w:rsidRPr="00E70BDE">
        <w:rPr>
          <w:szCs w:val="24"/>
        </w:rPr>
        <w:t xml:space="preserve"> kvalificē</w:t>
      </w:r>
      <w:r>
        <w:rPr>
          <w:szCs w:val="24"/>
        </w:rPr>
        <w:t>j</w:t>
      </w:r>
      <w:r w:rsidRPr="00E70BDE">
        <w:rPr>
          <w:szCs w:val="24"/>
        </w:rPr>
        <w:t>a</w:t>
      </w:r>
      <w:r>
        <w:rPr>
          <w:szCs w:val="24"/>
        </w:rPr>
        <w:t>ma</w:t>
      </w:r>
      <w:r w:rsidRPr="00E70BDE">
        <w:rPr>
          <w:szCs w:val="24"/>
        </w:rPr>
        <w:t xml:space="preserve"> kā komercdarbības atbalsts</w:t>
      </w:r>
      <w:r>
        <w:rPr>
          <w:szCs w:val="24"/>
        </w:rPr>
        <w:t xml:space="preserve">. Attiecīgi </w:t>
      </w:r>
      <w:r w:rsidRPr="00E70BDE">
        <w:rPr>
          <w:szCs w:val="24"/>
        </w:rPr>
        <w:t xml:space="preserve">saistošo noteikumu projekts ir jāpapildina ar piemērojamā komercdarbības atbalsta regulējuma nosacījumiem (Komisijas 2023.gada 13.decembra Regula Nr.2023/2831 par Līguma par Eiropas Savienības darbību 107. un 108. panta piemērošanu </w:t>
      </w:r>
      <w:proofErr w:type="spellStart"/>
      <w:r w:rsidRPr="00E70BDE">
        <w:rPr>
          <w:i/>
          <w:iCs/>
          <w:szCs w:val="24"/>
        </w:rPr>
        <w:t>de</w:t>
      </w:r>
      <w:proofErr w:type="spellEnd"/>
      <w:r w:rsidRPr="00E70BDE">
        <w:rPr>
          <w:i/>
          <w:iCs/>
          <w:szCs w:val="24"/>
        </w:rPr>
        <w:t xml:space="preserve"> </w:t>
      </w:r>
      <w:proofErr w:type="spellStart"/>
      <w:r w:rsidRPr="00E70BDE">
        <w:rPr>
          <w:i/>
          <w:iCs/>
          <w:szCs w:val="24"/>
        </w:rPr>
        <w:t>minimis</w:t>
      </w:r>
      <w:proofErr w:type="spellEnd"/>
      <w:r w:rsidRPr="00E70BDE">
        <w:rPr>
          <w:szCs w:val="24"/>
        </w:rPr>
        <w:t xml:space="preserve"> atbalstam). </w:t>
      </w:r>
    </w:p>
    <w:p w14:paraId="492C5DEC" w14:textId="77777777" w:rsidR="00834390" w:rsidRDefault="00000000" w:rsidP="00834390">
      <w:pPr>
        <w:spacing w:before="120" w:after="120"/>
        <w:ind w:firstLine="357"/>
        <w:rPr>
          <w:szCs w:val="24"/>
        </w:rPr>
      </w:pPr>
      <w:r>
        <w:rPr>
          <w:szCs w:val="24"/>
        </w:rPr>
        <w:t>Papildus</w:t>
      </w:r>
      <w:r w:rsidRPr="00430FFE">
        <w:rPr>
          <w:szCs w:val="24"/>
        </w:rPr>
        <w:t xml:space="preserve"> informējam, ka atbalsta programmā ir jābūt ietvertām visām prasībām, kas izriet no piemērojamā komercdarbības atbalsta regulējuma, lai, gan atbalsta pretendentiem, gan atbalsta sniedzējiem būtu viennozīmīgi skaidri atbalsta piešķiršanai piemērojamie nosacījumi. </w:t>
      </w:r>
      <w:r>
        <w:rPr>
          <w:szCs w:val="24"/>
        </w:rPr>
        <w:t>Šajā saistībā</w:t>
      </w:r>
      <w:r w:rsidRPr="00430FFE">
        <w:rPr>
          <w:szCs w:val="24"/>
        </w:rPr>
        <w:t xml:space="preserve"> aicinām izmantot ar Finanšu ministrijas 2024.gada 9.maija vēstuli Nr.7-4/18/1422 “Par </w:t>
      </w:r>
      <w:proofErr w:type="spellStart"/>
      <w:r w:rsidRPr="00430FFE">
        <w:rPr>
          <w:i/>
          <w:iCs/>
          <w:szCs w:val="24"/>
        </w:rPr>
        <w:t>de</w:t>
      </w:r>
      <w:proofErr w:type="spellEnd"/>
      <w:r w:rsidRPr="00430FFE">
        <w:rPr>
          <w:i/>
          <w:iCs/>
          <w:szCs w:val="24"/>
        </w:rPr>
        <w:t xml:space="preserve"> </w:t>
      </w:r>
      <w:proofErr w:type="spellStart"/>
      <w:r w:rsidRPr="00430FFE">
        <w:rPr>
          <w:i/>
          <w:iCs/>
          <w:szCs w:val="24"/>
        </w:rPr>
        <w:t>minimis</w:t>
      </w:r>
      <w:proofErr w:type="spellEnd"/>
      <w:r w:rsidRPr="00430FFE">
        <w:rPr>
          <w:szCs w:val="24"/>
        </w:rPr>
        <w:t xml:space="preserve"> atbalsta regulējuma nosacījumu ietveršanu atbalsta pasākumos” nosūtīto atbalsta programmās </w:t>
      </w:r>
      <w:r w:rsidRPr="00430FFE">
        <w:rPr>
          <w:szCs w:val="24"/>
        </w:rPr>
        <w:lastRenderedPageBreak/>
        <w:t xml:space="preserve">ietveramo </w:t>
      </w:r>
      <w:proofErr w:type="spellStart"/>
      <w:r w:rsidRPr="00430FFE">
        <w:rPr>
          <w:i/>
          <w:iCs/>
          <w:szCs w:val="24"/>
        </w:rPr>
        <w:t>de</w:t>
      </w:r>
      <w:proofErr w:type="spellEnd"/>
      <w:r w:rsidRPr="00430FFE">
        <w:rPr>
          <w:i/>
          <w:iCs/>
          <w:szCs w:val="24"/>
        </w:rPr>
        <w:t xml:space="preserve"> </w:t>
      </w:r>
      <w:proofErr w:type="spellStart"/>
      <w:r w:rsidRPr="00430FFE">
        <w:rPr>
          <w:i/>
          <w:iCs/>
          <w:szCs w:val="24"/>
        </w:rPr>
        <w:t>minimis</w:t>
      </w:r>
      <w:proofErr w:type="spellEnd"/>
      <w:r w:rsidRPr="00430FFE">
        <w:rPr>
          <w:szCs w:val="24"/>
        </w:rPr>
        <w:t xml:space="preserve"> atbalsta prasību paraugu. Minētā vēstule tika nosūtīta visām Latvijas Republikas pašvaldībām.</w:t>
      </w:r>
      <w:r>
        <w:rPr>
          <w:szCs w:val="24"/>
        </w:rPr>
        <w:t xml:space="preserve"> </w:t>
      </w:r>
      <w:bookmarkEnd w:id="1"/>
    </w:p>
    <w:p w14:paraId="461BF2DD" w14:textId="77777777" w:rsidR="00B1408B" w:rsidRPr="008A2AA2" w:rsidRDefault="00000000" w:rsidP="00B1408B">
      <w:pPr>
        <w:spacing w:before="120" w:after="120"/>
        <w:ind w:firstLine="357"/>
        <w:rPr>
          <w:szCs w:val="24"/>
        </w:rPr>
      </w:pPr>
      <w:r>
        <w:rPr>
          <w:szCs w:val="24"/>
        </w:rPr>
        <w:t xml:space="preserve">Alternatīvi, ja pašvaldība, veicot </w:t>
      </w:r>
      <w:proofErr w:type="spellStart"/>
      <w:r>
        <w:rPr>
          <w:szCs w:val="24"/>
        </w:rPr>
        <w:t>izvērtējumu</w:t>
      </w:r>
      <w:proofErr w:type="spellEnd"/>
      <w:r>
        <w:rPr>
          <w:szCs w:val="24"/>
        </w:rPr>
        <w:t xml:space="preserve"> par katru 7.1.apakšpunktā minēto gadījumu, secina, ka nodevas atbrīvojums ir kvalificējams kā komercdarbības atbalsts, taču ar saistošiem noteikumiem nav plānots piešķirt</w:t>
      </w:r>
      <w:r w:rsidRPr="0002695B">
        <w:rPr>
          <w:szCs w:val="24"/>
        </w:rPr>
        <w:t xml:space="preserve"> nodevu atbrīvojumus </w:t>
      </w:r>
      <w:r>
        <w:rPr>
          <w:szCs w:val="24"/>
        </w:rPr>
        <w:t>šādos gadījumos, saistošie noteikumi būtu jāpapildina ar normu, kas paredz, ka gadījumos, ja atbalsts ir kvalificējams kā komercdarbības atbalsts, nodevas atbrīvojums netiks piemērots, izsakot to, piemēram, šādā redakcijā:</w:t>
      </w:r>
      <w:r w:rsidRPr="008A2AA2">
        <w:rPr>
          <w:szCs w:val="24"/>
        </w:rPr>
        <w:t xml:space="preserve"> “</w:t>
      </w:r>
      <w:r w:rsidRPr="008A2AA2">
        <w:rPr>
          <w:i/>
          <w:iCs/>
          <w:szCs w:val="24"/>
        </w:rPr>
        <w:t>Šis atbrīvojums neattiecas uz gadījumiem, kad būvniecības īstenošana tiek veikta komercsabiedrības</w:t>
      </w:r>
      <w:r>
        <w:rPr>
          <w:i/>
          <w:iCs/>
          <w:szCs w:val="24"/>
        </w:rPr>
        <w:t>,</w:t>
      </w:r>
      <w:r w:rsidRPr="008632B9">
        <w:rPr>
          <w:i/>
          <w:iCs/>
          <w:szCs w:val="24"/>
        </w:rPr>
        <w:t xml:space="preserve"> </w:t>
      </w:r>
      <w:r w:rsidRPr="008A2AA2">
        <w:rPr>
          <w:i/>
          <w:iCs/>
          <w:szCs w:val="24"/>
        </w:rPr>
        <w:t>t.sk. pašvaldības vai pašvaldību iestāde</w:t>
      </w:r>
      <w:r>
        <w:rPr>
          <w:i/>
          <w:iCs/>
          <w:szCs w:val="24"/>
        </w:rPr>
        <w:t>i</w:t>
      </w:r>
      <w:r w:rsidRPr="008A2AA2">
        <w:rPr>
          <w:i/>
          <w:iCs/>
          <w:szCs w:val="24"/>
        </w:rPr>
        <w:t xml:space="preserve"> saimnieciskās darbības veikšanai</w:t>
      </w:r>
      <w:r>
        <w:rPr>
          <w:i/>
          <w:iCs/>
          <w:szCs w:val="24"/>
        </w:rPr>
        <w:t xml:space="preserve">, atbalsts kurai kvalificējas kā komercdarbības atbalsts </w:t>
      </w:r>
      <w:r w:rsidRPr="008A2AA2">
        <w:rPr>
          <w:i/>
          <w:iCs/>
          <w:szCs w:val="24"/>
        </w:rPr>
        <w:t>Komercdarbības atbalsta kontroles likuma 5.panta izpratnē,</w:t>
      </w:r>
      <w:r w:rsidRPr="008A2AA2">
        <w:rPr>
          <w:szCs w:val="24"/>
        </w:rPr>
        <w:t>.”</w:t>
      </w:r>
      <w:r>
        <w:rPr>
          <w:szCs w:val="24"/>
        </w:rPr>
        <w:t>. Ar atbilstošu skaidrojumu par nodevas atbrīvojuma vērtēšanu komercdarbības atbalsta kontekstā lūdzam papildināt arī saistošo noteikumu paskaidrojuma rakstu.</w:t>
      </w:r>
    </w:p>
    <w:p w14:paraId="3940D0BE" w14:textId="77777777" w:rsidR="00834390" w:rsidRDefault="00834390" w:rsidP="00834390">
      <w:pPr>
        <w:spacing w:before="120" w:after="120"/>
        <w:ind w:firstLine="357"/>
        <w:rPr>
          <w:szCs w:val="24"/>
        </w:rPr>
      </w:pPr>
    </w:p>
    <w:p w14:paraId="0694D54E" w14:textId="77777777" w:rsidR="00834390" w:rsidRPr="00615936" w:rsidRDefault="00834390" w:rsidP="00834390">
      <w:pPr>
        <w:jc w:val="left"/>
        <w:rPr>
          <w:szCs w:val="24"/>
        </w:rPr>
      </w:pPr>
    </w:p>
    <w:p w14:paraId="16C7C15E" w14:textId="77777777" w:rsidR="00834390" w:rsidRPr="00615936" w:rsidRDefault="00834390" w:rsidP="00834390">
      <w:pPr>
        <w:rPr>
          <w:szCs w:val="24"/>
        </w:rPr>
      </w:pPr>
    </w:p>
    <w:tbl>
      <w:tblPr>
        <w:tblStyle w:val="Reatabula"/>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1984"/>
        <w:gridCol w:w="2977"/>
      </w:tblGrid>
      <w:tr w:rsidR="003826F5" w14:paraId="3BD5E3DF" w14:textId="77777777" w:rsidTr="00B5268A">
        <w:tc>
          <w:tcPr>
            <w:tcW w:w="4537" w:type="dxa"/>
          </w:tcPr>
          <w:p w14:paraId="0851F730" w14:textId="77777777" w:rsidR="00834390" w:rsidRPr="00615936" w:rsidRDefault="00000000" w:rsidP="00B5268A">
            <w:pPr>
              <w:rPr>
                <w:szCs w:val="24"/>
              </w:rPr>
            </w:pPr>
            <w:r>
              <w:rPr>
                <w:noProof/>
                <w:szCs w:val="24"/>
              </w:rPr>
              <w:t>Valsts sekretāra vietnieks Eiropas Savienības fondu jautājumos</w:t>
            </w:r>
          </w:p>
        </w:tc>
        <w:tc>
          <w:tcPr>
            <w:tcW w:w="1984" w:type="dxa"/>
          </w:tcPr>
          <w:p w14:paraId="4B849D37" w14:textId="77777777" w:rsidR="00834390" w:rsidRDefault="00834390" w:rsidP="00B5268A">
            <w:pPr>
              <w:jc w:val="center"/>
              <w:rPr>
                <w:szCs w:val="24"/>
              </w:rPr>
            </w:pPr>
          </w:p>
          <w:p w14:paraId="39902A56" w14:textId="77777777" w:rsidR="00834390" w:rsidRDefault="00000000" w:rsidP="00B5268A">
            <w:pPr>
              <w:jc w:val="center"/>
              <w:rPr>
                <w:szCs w:val="24"/>
              </w:rPr>
            </w:pPr>
            <w:r>
              <w:rPr>
                <w:szCs w:val="24"/>
              </w:rPr>
              <w:t>(paraksts*)</w:t>
            </w:r>
          </w:p>
        </w:tc>
        <w:tc>
          <w:tcPr>
            <w:tcW w:w="2977" w:type="dxa"/>
            <w:vAlign w:val="bottom"/>
          </w:tcPr>
          <w:p w14:paraId="6AB4F989" w14:textId="77777777" w:rsidR="00834390" w:rsidRPr="00615936" w:rsidRDefault="00000000" w:rsidP="00B5268A">
            <w:pPr>
              <w:jc w:val="right"/>
              <w:rPr>
                <w:szCs w:val="24"/>
              </w:rPr>
            </w:pPr>
            <w:r>
              <w:rPr>
                <w:noProof/>
                <w:szCs w:val="24"/>
              </w:rPr>
              <w:t>Armands Eberhards</w:t>
            </w:r>
          </w:p>
        </w:tc>
      </w:tr>
      <w:tr w:rsidR="003826F5" w14:paraId="59F6305E" w14:textId="77777777" w:rsidTr="00B5268A">
        <w:tc>
          <w:tcPr>
            <w:tcW w:w="4537" w:type="dxa"/>
          </w:tcPr>
          <w:p w14:paraId="1793B975" w14:textId="77777777" w:rsidR="00834390" w:rsidRPr="00615936" w:rsidRDefault="00834390" w:rsidP="00B5268A">
            <w:pPr>
              <w:rPr>
                <w:szCs w:val="24"/>
              </w:rPr>
            </w:pPr>
          </w:p>
        </w:tc>
        <w:tc>
          <w:tcPr>
            <w:tcW w:w="1984" w:type="dxa"/>
          </w:tcPr>
          <w:p w14:paraId="193E7002" w14:textId="77777777" w:rsidR="00834390" w:rsidRPr="00615936" w:rsidRDefault="00834390" w:rsidP="00B5268A">
            <w:pPr>
              <w:jc w:val="right"/>
              <w:rPr>
                <w:szCs w:val="24"/>
              </w:rPr>
            </w:pPr>
          </w:p>
        </w:tc>
        <w:tc>
          <w:tcPr>
            <w:tcW w:w="2977" w:type="dxa"/>
            <w:vAlign w:val="bottom"/>
          </w:tcPr>
          <w:p w14:paraId="0B5BC08A" w14:textId="77777777" w:rsidR="00834390" w:rsidRPr="00615936" w:rsidRDefault="00834390" w:rsidP="00B5268A">
            <w:pPr>
              <w:jc w:val="right"/>
              <w:rPr>
                <w:szCs w:val="24"/>
              </w:rPr>
            </w:pPr>
          </w:p>
        </w:tc>
      </w:tr>
    </w:tbl>
    <w:tbl>
      <w:tblPr>
        <w:tblW w:w="8789" w:type="dxa"/>
        <w:tblInd w:w="-142" w:type="dxa"/>
        <w:tblLook w:val="04A0" w:firstRow="1" w:lastRow="0" w:firstColumn="1" w:lastColumn="0" w:noHBand="0" w:noVBand="1"/>
      </w:tblPr>
      <w:tblGrid>
        <w:gridCol w:w="8789"/>
      </w:tblGrid>
      <w:tr w:rsidR="003826F5" w14:paraId="2A7898D2" w14:textId="77777777" w:rsidTr="00B5268A">
        <w:trPr>
          <w:cantSplit/>
          <w:trHeight w:val="615"/>
        </w:trPr>
        <w:tc>
          <w:tcPr>
            <w:tcW w:w="8789" w:type="dxa"/>
          </w:tcPr>
          <w:p w14:paraId="54AA75DE" w14:textId="77777777" w:rsidR="00834390" w:rsidRPr="00AA6DC1" w:rsidRDefault="00000000" w:rsidP="00B5268A">
            <w:pPr>
              <w:pStyle w:val="Pamattekstsaratkpi"/>
              <w:tabs>
                <w:tab w:val="left" w:pos="8397"/>
              </w:tabs>
              <w:ind w:left="0"/>
              <w:rPr>
                <w:sz w:val="24"/>
                <w:szCs w:val="24"/>
              </w:rPr>
            </w:pPr>
            <w:r w:rsidRPr="00AA6DC1">
              <w:rPr>
                <w:sz w:val="24"/>
                <w:szCs w:val="24"/>
              </w:rPr>
              <w:t>*Dokuments ir parakstīts ar drošu elektronisko parakstu</w:t>
            </w:r>
          </w:p>
        </w:tc>
      </w:tr>
    </w:tbl>
    <w:p w14:paraId="6F8B7B97" w14:textId="77777777" w:rsidR="00826D51" w:rsidRDefault="00826D51" w:rsidP="007F3771">
      <w:pPr>
        <w:rPr>
          <w:sz w:val="20"/>
        </w:rPr>
      </w:pPr>
    </w:p>
    <w:p w14:paraId="55113EC0" w14:textId="77777777" w:rsidR="00901FD8" w:rsidRDefault="00000000" w:rsidP="00961A65">
      <w:pPr>
        <w:jc w:val="left"/>
        <w:rPr>
          <w:sz w:val="20"/>
        </w:rPr>
      </w:pPr>
      <w:r w:rsidRPr="00961A65">
        <w:rPr>
          <w:noProof/>
          <w:sz w:val="20"/>
        </w:rPr>
        <w:t>K</w:t>
      </w:r>
      <w:r>
        <w:rPr>
          <w:noProof/>
          <w:sz w:val="20"/>
        </w:rPr>
        <w:t>erolaina Pastare</w:t>
      </w:r>
      <w:r>
        <w:rPr>
          <w:sz w:val="20"/>
        </w:rPr>
        <w:t>,</w:t>
      </w:r>
      <w:r w:rsidR="00DD2410">
        <w:rPr>
          <w:sz w:val="20"/>
        </w:rPr>
        <w:t xml:space="preserve"> </w:t>
      </w:r>
    </w:p>
    <w:p w14:paraId="11A11F00" w14:textId="77777777" w:rsidR="00901FD8" w:rsidRDefault="00000000" w:rsidP="00961A65">
      <w:pPr>
        <w:jc w:val="left"/>
        <w:rPr>
          <w:sz w:val="20"/>
        </w:rPr>
      </w:pPr>
      <w:r w:rsidRPr="00901FD8">
        <w:rPr>
          <w:noProof/>
          <w:sz w:val="20"/>
        </w:rPr>
        <w:t>20299453</w:t>
      </w:r>
      <w:r>
        <w:rPr>
          <w:sz w:val="20"/>
        </w:rPr>
        <w:t xml:space="preserve">, </w:t>
      </w:r>
    </w:p>
    <w:p w14:paraId="6D2EEEE8" w14:textId="77777777" w:rsidR="000C0DD4" w:rsidRPr="006D6710" w:rsidRDefault="00000000" w:rsidP="00961A65">
      <w:pPr>
        <w:jc w:val="left"/>
        <w:rPr>
          <w:sz w:val="20"/>
        </w:rPr>
      </w:pPr>
      <w:r w:rsidRPr="00961A65">
        <w:rPr>
          <w:noProof/>
          <w:sz w:val="20"/>
        </w:rPr>
        <w:t>Kerolaina.Pastare@fm.gov.lv</w:t>
      </w:r>
    </w:p>
    <w:p w14:paraId="3C90250E" w14:textId="77777777" w:rsidR="000C0DD4" w:rsidRPr="006D6710" w:rsidRDefault="000C0DD4" w:rsidP="00961A65">
      <w:pPr>
        <w:jc w:val="left"/>
        <w:rPr>
          <w:sz w:val="20"/>
        </w:rPr>
      </w:pPr>
    </w:p>
    <w:sectPr w:rsidR="000C0DD4" w:rsidRPr="006D6710" w:rsidSect="00140C77">
      <w:headerReference w:type="even" r:id="rId10"/>
      <w:headerReference w:type="default" r:id="rId11"/>
      <w:footerReference w:type="default" r:id="rId12"/>
      <w:headerReference w:type="first" r:id="rId13"/>
      <w:footerReference w:type="first" r:id="rId14"/>
      <w:pgSz w:w="11907" w:h="16840" w:code="9"/>
      <w:pgMar w:top="567" w:right="850"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C9803" w14:textId="77777777" w:rsidR="000C1F9C" w:rsidRDefault="000C1F9C">
      <w:r>
        <w:separator/>
      </w:r>
    </w:p>
  </w:endnote>
  <w:endnote w:type="continuationSeparator" w:id="0">
    <w:p w14:paraId="19ECB056" w14:textId="77777777" w:rsidR="000C1F9C" w:rsidRDefault="000C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219726"/>
      <w:docPartObj>
        <w:docPartGallery w:val="Page Numbers (Bottom of Page)"/>
        <w:docPartUnique/>
      </w:docPartObj>
    </w:sdtPr>
    <w:sdtContent>
      <w:p w14:paraId="04FC5055" w14:textId="77777777" w:rsidR="0015384D" w:rsidRDefault="00000000">
        <w:pPr>
          <w:pStyle w:val="Kjene"/>
          <w:jc w:val="center"/>
        </w:pPr>
        <w:r w:rsidRPr="00557B49">
          <w:rPr>
            <w:sz w:val="24"/>
            <w:szCs w:val="24"/>
          </w:rPr>
          <w:fldChar w:fldCharType="begin"/>
        </w:r>
        <w:r w:rsidR="009E200C" w:rsidRPr="00557B49">
          <w:rPr>
            <w:sz w:val="24"/>
            <w:szCs w:val="24"/>
          </w:rPr>
          <w:instrText xml:space="preserve"> PAGE   \* MERGEFORMAT </w:instrText>
        </w:r>
        <w:r w:rsidRPr="00557B49">
          <w:rPr>
            <w:sz w:val="24"/>
            <w:szCs w:val="24"/>
          </w:rPr>
          <w:fldChar w:fldCharType="separate"/>
        </w:r>
        <w:r w:rsidR="000C0DD4">
          <w:rPr>
            <w:noProof/>
            <w:sz w:val="24"/>
            <w:szCs w:val="24"/>
          </w:rPr>
          <w:t>3</w:t>
        </w:r>
        <w:r w:rsidRPr="00557B49">
          <w:rPr>
            <w:sz w:val="24"/>
            <w:szCs w:val="24"/>
          </w:rPr>
          <w:fldChar w:fldCharType="end"/>
        </w:r>
      </w:p>
    </w:sdtContent>
  </w:sdt>
  <w:p w14:paraId="5EA29050" w14:textId="77777777" w:rsidR="0015384D" w:rsidRDefault="0015384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8F86" w14:textId="77777777" w:rsidR="0015384D" w:rsidRDefault="0015384D">
    <w:pPr>
      <w:pStyle w:val="Kjene"/>
      <w:jc w:val="center"/>
    </w:pPr>
  </w:p>
  <w:p w14:paraId="657FC63E" w14:textId="77777777" w:rsidR="0015384D" w:rsidRDefault="0015384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EE29" w14:textId="77777777" w:rsidR="000C1F9C" w:rsidRDefault="000C1F9C">
      <w:r>
        <w:separator/>
      </w:r>
    </w:p>
  </w:footnote>
  <w:footnote w:type="continuationSeparator" w:id="0">
    <w:p w14:paraId="76119620" w14:textId="77777777" w:rsidR="000C1F9C" w:rsidRDefault="000C1F9C">
      <w:r>
        <w:continuationSeparator/>
      </w:r>
    </w:p>
  </w:footnote>
  <w:footnote w:id="1">
    <w:p w14:paraId="63E1B0A1" w14:textId="77777777" w:rsidR="00834390" w:rsidRDefault="00000000" w:rsidP="00834390">
      <w:pPr>
        <w:pStyle w:val="Vresteksts"/>
      </w:pPr>
      <w:r>
        <w:rPr>
          <w:rStyle w:val="Vresatsauce"/>
        </w:rPr>
        <w:footnoteRef/>
      </w:r>
      <w:r>
        <w:t xml:space="preserve"> Pieejams: </w:t>
      </w:r>
      <w:hyperlink r:id="rId1" w:tgtFrame="_blank" w:tooltip="https://eur-lex.europa.eu/legal-content/lv/txt/?uri=celex%3a52016xc0719%2805%29" w:history="1">
        <w:r w:rsidR="00834390" w:rsidRPr="00910A22">
          <w:rPr>
            <w:rStyle w:val="Hipersaite"/>
          </w:rPr>
          <w:t>https://eur-lex.europa.eu/legal-content/LV/TXT/?uri=CELEX%3A52016XC0719%2805%29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72F4" w14:textId="77777777" w:rsidR="00F33DBE" w:rsidRDefault="0000000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5384D">
      <w:rPr>
        <w:rStyle w:val="Lappusesnumurs"/>
        <w:noProof/>
      </w:rPr>
      <w:t>2</w:t>
    </w:r>
    <w:r>
      <w:rPr>
        <w:rStyle w:val="Lappusesnumurs"/>
      </w:rPr>
      <w:fldChar w:fldCharType="end"/>
    </w:r>
  </w:p>
  <w:p w14:paraId="4258D4EE" w14:textId="77777777" w:rsidR="00F33DBE" w:rsidRDefault="00F33D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DABCC" w14:textId="77777777" w:rsidR="00F33DBE" w:rsidRDefault="00000000" w:rsidP="008C508E">
    <w:pPr>
      <w:pStyle w:val="Galvene"/>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AC36" w14:textId="77777777" w:rsidR="002C22B9" w:rsidRDefault="002C22B9">
    <w:pPr>
      <w:pStyle w:val="Galvene"/>
    </w:pPr>
  </w:p>
  <w:p w14:paraId="09758E21" w14:textId="77777777" w:rsidR="002C22B9" w:rsidRDefault="002C22B9">
    <w:pPr>
      <w:pStyle w:val="Galvene"/>
    </w:pPr>
  </w:p>
  <w:p w14:paraId="7DDA3AC9" w14:textId="77777777" w:rsidR="002C22B9" w:rsidRDefault="002C22B9">
    <w:pPr>
      <w:pStyle w:val="Galvene"/>
    </w:pPr>
  </w:p>
  <w:p w14:paraId="380E3711" w14:textId="77777777" w:rsidR="002C22B9" w:rsidRDefault="00000000" w:rsidP="002C22B9">
    <w:pPr>
      <w:pStyle w:val="Galvene"/>
      <w:tabs>
        <w:tab w:val="clear" w:pos="4153"/>
        <w:tab w:val="clear" w:pos="8306"/>
      </w:tabs>
    </w:pPr>
    <w:r>
      <w:rPr>
        <w:noProof/>
        <w:lang w:eastAsia="lv-LV"/>
      </w:rPr>
      <mc:AlternateContent>
        <mc:Choice Requires="wps">
          <w:drawing>
            <wp:anchor distT="0" distB="0" distL="114300" distR="114300" simplePos="0" relativeHeight="251660288" behindDoc="1" locked="0" layoutInCell="1" allowOverlap="1" wp14:anchorId="25F98178" wp14:editId="6FE894E9">
              <wp:simplePos x="0" y="0"/>
              <wp:positionH relativeFrom="page">
                <wp:posOffset>1066800</wp:posOffset>
              </wp:positionH>
              <wp:positionV relativeFrom="page">
                <wp:posOffset>2030730</wp:posOffset>
              </wp:positionV>
              <wp:extent cx="5943600" cy="314325"/>
              <wp:effectExtent l="0" t="0" r="0" b="9525"/>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9661B" w14:textId="77777777" w:rsidR="002C22B9" w:rsidRDefault="00000000" w:rsidP="002C22B9">
                          <w:pPr>
                            <w:spacing w:line="194" w:lineRule="exact"/>
                            <w:ind w:left="20" w:right="-45"/>
                            <w:jc w:val="center"/>
                            <w:rPr>
                              <w:sz w:val="17"/>
                              <w:szCs w:val="17"/>
                            </w:rPr>
                          </w:pPr>
                          <w:r w:rsidRPr="00A41446">
                            <w:rPr>
                              <w:color w:val="231F20"/>
                              <w:sz w:val="17"/>
                              <w:szCs w:val="17"/>
                            </w:rPr>
                            <w:t>Smilšu iela 1, Rīga, LV-1919, tālr. 67095</w:t>
                          </w:r>
                          <w:r>
                            <w:rPr>
                              <w:color w:val="231F20"/>
                              <w:sz w:val="17"/>
                              <w:szCs w:val="17"/>
                            </w:rPr>
                            <w:t>689</w:t>
                          </w:r>
                          <w:r w:rsidRPr="00A41446">
                            <w:rPr>
                              <w:color w:val="231F20"/>
                              <w:sz w:val="17"/>
                              <w:szCs w:val="17"/>
                            </w:rPr>
                            <w:t>, e-pasts pasts@fm.gov.lv, www.fm.gov.lv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68pt;height:24.75pt;margin-top:159.9pt;margin-left:84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5168" filled="f" stroked="f">
              <v:textbox inset="0,0,0,0">
                <w:txbxContent>
                  <w:p w:rsidR="002C22B9" w:rsidP="002C22B9" w14:paraId="74E8C24C" w14:textId="77777777">
                    <w:pPr>
                      <w:spacing w:line="194" w:lineRule="exact"/>
                      <w:ind w:left="20" w:right="-45"/>
                      <w:jc w:val="center"/>
                      <w:rPr>
                        <w:sz w:val="17"/>
                        <w:szCs w:val="17"/>
                      </w:rPr>
                    </w:pPr>
                    <w:r w:rsidRPr="00A41446">
                      <w:rPr>
                        <w:color w:val="231F20"/>
                        <w:sz w:val="17"/>
                        <w:szCs w:val="17"/>
                      </w:rPr>
                      <w:t>Smilšu iela 1, Rīga, LV-1919, tālr. 67095</w:t>
                    </w:r>
                    <w:r>
                      <w:rPr>
                        <w:color w:val="231F20"/>
                        <w:sz w:val="17"/>
                        <w:szCs w:val="17"/>
                      </w:rPr>
                      <w:t>689</w:t>
                    </w:r>
                    <w:r w:rsidRPr="00A41446">
                      <w:rPr>
                        <w:color w:val="231F20"/>
                        <w:sz w:val="17"/>
                        <w:szCs w:val="17"/>
                      </w:rPr>
                      <w:t>, e-pasts pasts@fm.gov.lv, www.fm.gov.lv</w:t>
                    </w:r>
                  </w:p>
                </w:txbxContent>
              </v:textbox>
            </v:shape>
          </w:pict>
        </mc:Fallback>
      </mc:AlternateContent>
    </w:r>
    <w:r w:rsidRPr="002C22B9">
      <w:rPr>
        <w:noProof/>
        <w:lang w:eastAsia="lv-LV"/>
      </w:rPr>
      <w:drawing>
        <wp:anchor distT="0" distB="0" distL="114300" distR="114300" simplePos="0" relativeHeight="251662336" behindDoc="1" locked="0" layoutInCell="1" allowOverlap="1" wp14:anchorId="48A590F3" wp14:editId="12B6A01C">
          <wp:simplePos x="0" y="0"/>
          <wp:positionH relativeFrom="margin">
            <wp:posOffset>75565</wp:posOffset>
          </wp:positionH>
          <wp:positionV relativeFrom="page">
            <wp:posOffset>711200</wp:posOffset>
          </wp:positionV>
          <wp:extent cx="5914390" cy="1065600"/>
          <wp:effectExtent l="0" t="0" r="0" b="0"/>
          <wp:wrapNone/>
          <wp:docPr id="8" name="Picture 8" descr="C:\Users\it-skrod\Desktop\veidlapas_jaunas\paraugi\vienkrasu_header_veidlapa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C:\Users\it-skrod\Desktop\veidlapas_jaunas\paraugi\vienkrasu_header_veidlapa_22.png"/>
                  <pic:cNvPicPr>
                    <a:picLocks noChangeAspect="1" noChangeArrowheads="1"/>
                  </pic:cNvPicPr>
                </pic:nvPicPr>
                <pic:blipFill>
                  <a:blip r:embed="rId1" cstate="print">
                    <a:extLst>
                      <a:ext uri="{BEBA8EAE-BF5A-486C-A8C5-ECC9F3942E4B}">
                        <a14:imgProps xmlns:a14="http://schemas.microsoft.com/office/drawing/2010/main">
                          <a14:imgLayer>
                            <a14:imgEffect>
                              <a14:brightnessContrast contrast="100000"/>
                            </a14:imgEffect>
                          </a14:imgLayer>
                        </a14:imgProps>
                      </a:ext>
                      <a:ext uri="{28A0092B-C50C-407E-A947-70E740481C1C}">
                        <a14:useLocalDpi xmlns:a14="http://schemas.microsoft.com/office/drawing/2010/main" val="0"/>
                      </a:ext>
                    </a:extLst>
                  </a:blip>
                  <a:srcRect l="1249" t="1374" r="-1249" b="-1372"/>
                  <a:stretch>
                    <a:fillRect/>
                  </a:stretch>
                </pic:blipFill>
                <pic:spPr bwMode="auto">
                  <a:xfrm>
                    <a:off x="0" y="0"/>
                    <a:ext cx="5914390" cy="1065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635F5F" w14:textId="77777777" w:rsidR="002C22B9" w:rsidRDefault="002C22B9">
    <w:pPr>
      <w:pStyle w:val="Galvene"/>
    </w:pPr>
  </w:p>
  <w:p w14:paraId="434E6AF8" w14:textId="77777777" w:rsidR="002C22B9" w:rsidRDefault="002C22B9">
    <w:pPr>
      <w:pStyle w:val="Galvene"/>
    </w:pPr>
  </w:p>
  <w:p w14:paraId="326A936C" w14:textId="77777777" w:rsidR="002C22B9" w:rsidRDefault="002C22B9">
    <w:pPr>
      <w:pStyle w:val="Galvene"/>
    </w:pPr>
  </w:p>
  <w:p w14:paraId="3DA65C38" w14:textId="77777777" w:rsidR="002C22B9" w:rsidRDefault="002C22B9">
    <w:pPr>
      <w:pStyle w:val="Galvene"/>
    </w:pPr>
  </w:p>
  <w:p w14:paraId="322C9CD9" w14:textId="77777777" w:rsidR="002C22B9" w:rsidRDefault="002C22B9">
    <w:pPr>
      <w:pStyle w:val="Galvene"/>
    </w:pPr>
  </w:p>
  <w:p w14:paraId="7489F5C3" w14:textId="77777777" w:rsidR="002C22B9" w:rsidRDefault="002C22B9">
    <w:pPr>
      <w:pStyle w:val="Galvene"/>
    </w:pPr>
  </w:p>
  <w:p w14:paraId="6BA63E3C" w14:textId="77777777" w:rsidR="002C22B9" w:rsidRDefault="00000000">
    <w:pPr>
      <w:pStyle w:val="Galvene"/>
    </w:pPr>
    <w:r>
      <w:rPr>
        <w:noProof/>
        <w:lang w:eastAsia="lv-LV"/>
      </w:rPr>
      <mc:AlternateContent>
        <mc:Choice Requires="wpg">
          <w:drawing>
            <wp:anchor distT="0" distB="0" distL="114300" distR="114300" simplePos="0" relativeHeight="251658240" behindDoc="1" locked="0" layoutInCell="1" allowOverlap="1" wp14:anchorId="0328FFE2" wp14:editId="56ED2CEF">
              <wp:simplePos x="0" y="0"/>
              <wp:positionH relativeFrom="margin">
                <wp:posOffset>-34290</wp:posOffset>
              </wp:positionH>
              <wp:positionV relativeFrom="page">
                <wp:posOffset>1903095</wp:posOffset>
              </wp:positionV>
              <wp:extent cx="5937250" cy="45085"/>
              <wp:effectExtent l="0" t="0" r="25400" b="0"/>
              <wp:wrapNone/>
              <wp:docPr id="9" name="Group 41"/>
              <wp:cNvGraphicFramePr/>
              <a:graphic xmlns:a="http://schemas.openxmlformats.org/drawingml/2006/main">
                <a:graphicData uri="http://schemas.microsoft.com/office/word/2010/wordprocessingGroup">
                  <wpg:wgp>
                    <wpg:cNvGrpSpPr/>
                    <wpg:grpSpPr>
                      <a:xfrm>
                        <a:off x="0" y="0"/>
                        <a:ext cx="5937250" cy="45085"/>
                        <a:chOff x="2915" y="2998"/>
                        <a:chExt cx="6926" cy="2"/>
                      </a:xfrm>
                    </wpg:grpSpPr>
                    <wps:wsp>
                      <wps:cNvPr id="10"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467.5pt;height:3.55pt;margin-top:149.85pt;margin-left:-2.7pt;mso-position-horizontal-relative:margin;mso-position-vertical-relative:page;position:absolute;z-index:-251657216"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w10:wrap anchorx="margin"/>
            </v:group>
          </w:pict>
        </mc:Fallback>
      </mc:AlternateContent>
    </w:r>
  </w:p>
  <w:p w14:paraId="63AE8280" w14:textId="77777777" w:rsidR="002C22B9" w:rsidRDefault="002C22B9">
    <w:pPr>
      <w:pStyle w:val="Galvene"/>
    </w:pPr>
  </w:p>
  <w:p w14:paraId="38D14856" w14:textId="77777777" w:rsidR="002C22B9" w:rsidRDefault="002C22B9">
    <w:pPr>
      <w:pStyle w:val="Galvene"/>
    </w:pPr>
  </w:p>
  <w:p w14:paraId="4FD0CAEE" w14:textId="77777777" w:rsidR="002C22B9" w:rsidRDefault="002C22B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A6FDC"/>
    <w:multiLevelType w:val="hybridMultilevel"/>
    <w:tmpl w:val="21286DA0"/>
    <w:lvl w:ilvl="0" w:tplc="BB0411E6">
      <w:start w:val="1"/>
      <w:numFmt w:val="decimal"/>
      <w:lvlText w:val="%1."/>
      <w:lvlJc w:val="left"/>
      <w:pPr>
        <w:ind w:left="720" w:hanging="360"/>
      </w:pPr>
      <w:rPr>
        <w:rFonts w:hint="default"/>
      </w:rPr>
    </w:lvl>
    <w:lvl w:ilvl="1" w:tplc="0D0CF9B0" w:tentative="1">
      <w:start w:val="1"/>
      <w:numFmt w:val="lowerLetter"/>
      <w:lvlText w:val="%2."/>
      <w:lvlJc w:val="left"/>
      <w:pPr>
        <w:ind w:left="1440" w:hanging="360"/>
      </w:pPr>
    </w:lvl>
    <w:lvl w:ilvl="2" w:tplc="77D6B1D8" w:tentative="1">
      <w:start w:val="1"/>
      <w:numFmt w:val="lowerRoman"/>
      <w:lvlText w:val="%3."/>
      <w:lvlJc w:val="right"/>
      <w:pPr>
        <w:ind w:left="2160" w:hanging="180"/>
      </w:pPr>
    </w:lvl>
    <w:lvl w:ilvl="3" w:tplc="2C02C012" w:tentative="1">
      <w:start w:val="1"/>
      <w:numFmt w:val="decimal"/>
      <w:lvlText w:val="%4."/>
      <w:lvlJc w:val="left"/>
      <w:pPr>
        <w:ind w:left="2880" w:hanging="360"/>
      </w:pPr>
    </w:lvl>
    <w:lvl w:ilvl="4" w:tplc="F45626AE" w:tentative="1">
      <w:start w:val="1"/>
      <w:numFmt w:val="lowerLetter"/>
      <w:lvlText w:val="%5."/>
      <w:lvlJc w:val="left"/>
      <w:pPr>
        <w:ind w:left="3600" w:hanging="360"/>
      </w:pPr>
    </w:lvl>
    <w:lvl w:ilvl="5" w:tplc="602A7E78" w:tentative="1">
      <w:start w:val="1"/>
      <w:numFmt w:val="lowerRoman"/>
      <w:lvlText w:val="%6."/>
      <w:lvlJc w:val="right"/>
      <w:pPr>
        <w:ind w:left="4320" w:hanging="180"/>
      </w:pPr>
    </w:lvl>
    <w:lvl w:ilvl="6" w:tplc="22046158" w:tentative="1">
      <w:start w:val="1"/>
      <w:numFmt w:val="decimal"/>
      <w:lvlText w:val="%7."/>
      <w:lvlJc w:val="left"/>
      <w:pPr>
        <w:ind w:left="5040" w:hanging="360"/>
      </w:pPr>
    </w:lvl>
    <w:lvl w:ilvl="7" w:tplc="E76E1926" w:tentative="1">
      <w:start w:val="1"/>
      <w:numFmt w:val="lowerLetter"/>
      <w:lvlText w:val="%8."/>
      <w:lvlJc w:val="left"/>
      <w:pPr>
        <w:ind w:left="5760" w:hanging="360"/>
      </w:pPr>
    </w:lvl>
    <w:lvl w:ilvl="8" w:tplc="18B6647E" w:tentative="1">
      <w:start w:val="1"/>
      <w:numFmt w:val="lowerRoman"/>
      <w:lvlText w:val="%9."/>
      <w:lvlJc w:val="right"/>
      <w:pPr>
        <w:ind w:left="6480" w:hanging="180"/>
      </w:pPr>
    </w:lvl>
  </w:abstractNum>
  <w:num w:numId="1" w16cid:durableId="721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E51"/>
    <w:rsid w:val="000165AF"/>
    <w:rsid w:val="0002005E"/>
    <w:rsid w:val="00025906"/>
    <w:rsid w:val="0002695B"/>
    <w:rsid w:val="00051BDB"/>
    <w:rsid w:val="00054277"/>
    <w:rsid w:val="00062D32"/>
    <w:rsid w:val="00063804"/>
    <w:rsid w:val="000704C8"/>
    <w:rsid w:val="00072A98"/>
    <w:rsid w:val="00074C0E"/>
    <w:rsid w:val="0008360A"/>
    <w:rsid w:val="000859B0"/>
    <w:rsid w:val="00086189"/>
    <w:rsid w:val="000A0A49"/>
    <w:rsid w:val="000A2273"/>
    <w:rsid w:val="000A4A49"/>
    <w:rsid w:val="000B5E98"/>
    <w:rsid w:val="000B75CE"/>
    <w:rsid w:val="000C0DD4"/>
    <w:rsid w:val="000C1481"/>
    <w:rsid w:val="000C1F9C"/>
    <w:rsid w:val="000D4ACD"/>
    <w:rsid w:val="000E05A4"/>
    <w:rsid w:val="000E7902"/>
    <w:rsid w:val="00101EF2"/>
    <w:rsid w:val="00102247"/>
    <w:rsid w:val="001042A3"/>
    <w:rsid w:val="00114955"/>
    <w:rsid w:val="00130802"/>
    <w:rsid w:val="00140C77"/>
    <w:rsid w:val="001421E1"/>
    <w:rsid w:val="001428D4"/>
    <w:rsid w:val="001459C6"/>
    <w:rsid w:val="00146475"/>
    <w:rsid w:val="00146FE3"/>
    <w:rsid w:val="0015384D"/>
    <w:rsid w:val="00156874"/>
    <w:rsid w:val="00160F55"/>
    <w:rsid w:val="0017402C"/>
    <w:rsid w:val="00176F63"/>
    <w:rsid w:val="0018218D"/>
    <w:rsid w:val="00184AB5"/>
    <w:rsid w:val="001909D0"/>
    <w:rsid w:val="001943EE"/>
    <w:rsid w:val="001D78A7"/>
    <w:rsid w:val="001F53D9"/>
    <w:rsid w:val="00203705"/>
    <w:rsid w:val="0021300E"/>
    <w:rsid w:val="00220CEE"/>
    <w:rsid w:val="00224396"/>
    <w:rsid w:val="00227D91"/>
    <w:rsid w:val="0023013F"/>
    <w:rsid w:val="00233B02"/>
    <w:rsid w:val="0023472C"/>
    <w:rsid w:val="00235349"/>
    <w:rsid w:val="00240DC2"/>
    <w:rsid w:val="00244390"/>
    <w:rsid w:val="00260557"/>
    <w:rsid w:val="00261352"/>
    <w:rsid w:val="002644F0"/>
    <w:rsid w:val="00266CF2"/>
    <w:rsid w:val="00267E3D"/>
    <w:rsid w:val="00292E11"/>
    <w:rsid w:val="0029448D"/>
    <w:rsid w:val="00297E6E"/>
    <w:rsid w:val="002A20A3"/>
    <w:rsid w:val="002B2B9A"/>
    <w:rsid w:val="002C22B9"/>
    <w:rsid w:val="002C7D64"/>
    <w:rsid w:val="002D0DAE"/>
    <w:rsid w:val="002D2EFD"/>
    <w:rsid w:val="002D6CB4"/>
    <w:rsid w:val="002E06CD"/>
    <w:rsid w:val="002E288C"/>
    <w:rsid w:val="002F5D59"/>
    <w:rsid w:val="003026CE"/>
    <w:rsid w:val="00302D28"/>
    <w:rsid w:val="00304112"/>
    <w:rsid w:val="003043C9"/>
    <w:rsid w:val="00305DC3"/>
    <w:rsid w:val="00314B6D"/>
    <w:rsid w:val="0031519D"/>
    <w:rsid w:val="00325CE2"/>
    <w:rsid w:val="00330C2A"/>
    <w:rsid w:val="00332AF9"/>
    <w:rsid w:val="00341839"/>
    <w:rsid w:val="00366991"/>
    <w:rsid w:val="0037045B"/>
    <w:rsid w:val="00374C0D"/>
    <w:rsid w:val="00380855"/>
    <w:rsid w:val="003826F5"/>
    <w:rsid w:val="00383D87"/>
    <w:rsid w:val="00386F28"/>
    <w:rsid w:val="00392EBE"/>
    <w:rsid w:val="00393EB9"/>
    <w:rsid w:val="00396BF4"/>
    <w:rsid w:val="003A324A"/>
    <w:rsid w:val="003B329B"/>
    <w:rsid w:val="003B4764"/>
    <w:rsid w:val="003D09AE"/>
    <w:rsid w:val="003D179D"/>
    <w:rsid w:val="003D7155"/>
    <w:rsid w:val="003F2252"/>
    <w:rsid w:val="003F2673"/>
    <w:rsid w:val="003F4635"/>
    <w:rsid w:val="003F79A5"/>
    <w:rsid w:val="004005A9"/>
    <w:rsid w:val="0040576E"/>
    <w:rsid w:val="004059A7"/>
    <w:rsid w:val="004218E7"/>
    <w:rsid w:val="004241B4"/>
    <w:rsid w:val="00430FFE"/>
    <w:rsid w:val="00434A02"/>
    <w:rsid w:val="0043643E"/>
    <w:rsid w:val="004478B9"/>
    <w:rsid w:val="00450E77"/>
    <w:rsid w:val="00474D18"/>
    <w:rsid w:val="00483407"/>
    <w:rsid w:val="004978CB"/>
    <w:rsid w:val="004A4074"/>
    <w:rsid w:val="004D5D78"/>
    <w:rsid w:val="004E2880"/>
    <w:rsid w:val="004E45F2"/>
    <w:rsid w:val="004E4C3B"/>
    <w:rsid w:val="004E7972"/>
    <w:rsid w:val="004F221F"/>
    <w:rsid w:val="004F32A1"/>
    <w:rsid w:val="004F671B"/>
    <w:rsid w:val="004F7DFD"/>
    <w:rsid w:val="00500907"/>
    <w:rsid w:val="005053F3"/>
    <w:rsid w:val="00513B65"/>
    <w:rsid w:val="00526E86"/>
    <w:rsid w:val="0053353D"/>
    <w:rsid w:val="00536EA1"/>
    <w:rsid w:val="005377EF"/>
    <w:rsid w:val="00544B16"/>
    <w:rsid w:val="00546FDE"/>
    <w:rsid w:val="00550841"/>
    <w:rsid w:val="00550BA5"/>
    <w:rsid w:val="00557B49"/>
    <w:rsid w:val="0056044A"/>
    <w:rsid w:val="00566B07"/>
    <w:rsid w:val="00573174"/>
    <w:rsid w:val="00583887"/>
    <w:rsid w:val="00583F38"/>
    <w:rsid w:val="005846CE"/>
    <w:rsid w:val="00584ED6"/>
    <w:rsid w:val="005910E7"/>
    <w:rsid w:val="005A0BBB"/>
    <w:rsid w:val="005C59CE"/>
    <w:rsid w:val="005D7171"/>
    <w:rsid w:val="005E3D1E"/>
    <w:rsid w:val="005F3139"/>
    <w:rsid w:val="006001D8"/>
    <w:rsid w:val="00613984"/>
    <w:rsid w:val="00615936"/>
    <w:rsid w:val="00616295"/>
    <w:rsid w:val="006205B8"/>
    <w:rsid w:val="00622CFD"/>
    <w:rsid w:val="006240D2"/>
    <w:rsid w:val="00636996"/>
    <w:rsid w:val="00642EE6"/>
    <w:rsid w:val="00643F3C"/>
    <w:rsid w:val="006557FE"/>
    <w:rsid w:val="006610B8"/>
    <w:rsid w:val="00663D7B"/>
    <w:rsid w:val="00667635"/>
    <w:rsid w:val="00683E8B"/>
    <w:rsid w:val="00697AB8"/>
    <w:rsid w:val="006A05F7"/>
    <w:rsid w:val="006A3594"/>
    <w:rsid w:val="006A4D4A"/>
    <w:rsid w:val="006A707B"/>
    <w:rsid w:val="006B33CB"/>
    <w:rsid w:val="006B42A2"/>
    <w:rsid w:val="006C0553"/>
    <w:rsid w:val="006D24EC"/>
    <w:rsid w:val="006D6710"/>
    <w:rsid w:val="006E11A6"/>
    <w:rsid w:val="006E45DD"/>
    <w:rsid w:val="006E689E"/>
    <w:rsid w:val="006E6DBE"/>
    <w:rsid w:val="00701105"/>
    <w:rsid w:val="0070258A"/>
    <w:rsid w:val="00706C69"/>
    <w:rsid w:val="0070718E"/>
    <w:rsid w:val="00707ADE"/>
    <w:rsid w:val="0071276C"/>
    <w:rsid w:val="00730E2D"/>
    <w:rsid w:val="00733696"/>
    <w:rsid w:val="00733C31"/>
    <w:rsid w:val="00751786"/>
    <w:rsid w:val="007523B6"/>
    <w:rsid w:val="00765592"/>
    <w:rsid w:val="00786DAF"/>
    <w:rsid w:val="00792DE6"/>
    <w:rsid w:val="007A2915"/>
    <w:rsid w:val="007A5BA9"/>
    <w:rsid w:val="007A73EC"/>
    <w:rsid w:val="007B32A0"/>
    <w:rsid w:val="007C5B7E"/>
    <w:rsid w:val="007E021E"/>
    <w:rsid w:val="007E3858"/>
    <w:rsid w:val="007E7EA0"/>
    <w:rsid w:val="007F3771"/>
    <w:rsid w:val="007F6888"/>
    <w:rsid w:val="00812E64"/>
    <w:rsid w:val="008237C6"/>
    <w:rsid w:val="00826D51"/>
    <w:rsid w:val="00834390"/>
    <w:rsid w:val="008360BD"/>
    <w:rsid w:val="00837277"/>
    <w:rsid w:val="008632B9"/>
    <w:rsid w:val="0086567E"/>
    <w:rsid w:val="00866595"/>
    <w:rsid w:val="00875EF1"/>
    <w:rsid w:val="00884446"/>
    <w:rsid w:val="00886C8A"/>
    <w:rsid w:val="008A2AA2"/>
    <w:rsid w:val="008A5EC1"/>
    <w:rsid w:val="008C508E"/>
    <w:rsid w:val="008C65E9"/>
    <w:rsid w:val="008D22AE"/>
    <w:rsid w:val="008E4EA4"/>
    <w:rsid w:val="008E4FE5"/>
    <w:rsid w:val="008F1369"/>
    <w:rsid w:val="008F15DF"/>
    <w:rsid w:val="008F2376"/>
    <w:rsid w:val="00901FD8"/>
    <w:rsid w:val="00903B9C"/>
    <w:rsid w:val="00910A22"/>
    <w:rsid w:val="00911470"/>
    <w:rsid w:val="00914649"/>
    <w:rsid w:val="00920076"/>
    <w:rsid w:val="009212D8"/>
    <w:rsid w:val="009328EF"/>
    <w:rsid w:val="00961A65"/>
    <w:rsid w:val="00963ACC"/>
    <w:rsid w:val="00973529"/>
    <w:rsid w:val="009767F7"/>
    <w:rsid w:val="009819D5"/>
    <w:rsid w:val="0098433C"/>
    <w:rsid w:val="00996DC8"/>
    <w:rsid w:val="009B2296"/>
    <w:rsid w:val="009B7929"/>
    <w:rsid w:val="009C29A7"/>
    <w:rsid w:val="009C643F"/>
    <w:rsid w:val="009E200C"/>
    <w:rsid w:val="009F3293"/>
    <w:rsid w:val="009F48D8"/>
    <w:rsid w:val="009F77B9"/>
    <w:rsid w:val="00A03231"/>
    <w:rsid w:val="00A17946"/>
    <w:rsid w:val="00A21D44"/>
    <w:rsid w:val="00A30AED"/>
    <w:rsid w:val="00A318B0"/>
    <w:rsid w:val="00A4004D"/>
    <w:rsid w:val="00A41446"/>
    <w:rsid w:val="00A54546"/>
    <w:rsid w:val="00A87DFA"/>
    <w:rsid w:val="00A94030"/>
    <w:rsid w:val="00A94FEC"/>
    <w:rsid w:val="00A97CA0"/>
    <w:rsid w:val="00AA21A4"/>
    <w:rsid w:val="00AA6DC1"/>
    <w:rsid w:val="00AA74E7"/>
    <w:rsid w:val="00AB2288"/>
    <w:rsid w:val="00AB278E"/>
    <w:rsid w:val="00AC60C1"/>
    <w:rsid w:val="00AD576B"/>
    <w:rsid w:val="00AE2200"/>
    <w:rsid w:val="00AF02BA"/>
    <w:rsid w:val="00AF21C7"/>
    <w:rsid w:val="00B12561"/>
    <w:rsid w:val="00B1408B"/>
    <w:rsid w:val="00B20359"/>
    <w:rsid w:val="00B26E48"/>
    <w:rsid w:val="00B30E51"/>
    <w:rsid w:val="00B45C16"/>
    <w:rsid w:val="00B5268A"/>
    <w:rsid w:val="00B55A55"/>
    <w:rsid w:val="00B9570C"/>
    <w:rsid w:val="00BB4400"/>
    <w:rsid w:val="00BD24E4"/>
    <w:rsid w:val="00BE3E7A"/>
    <w:rsid w:val="00BE5011"/>
    <w:rsid w:val="00BE78C7"/>
    <w:rsid w:val="00BF11EB"/>
    <w:rsid w:val="00BF233C"/>
    <w:rsid w:val="00C038B7"/>
    <w:rsid w:val="00C041F7"/>
    <w:rsid w:val="00C04DED"/>
    <w:rsid w:val="00C1122C"/>
    <w:rsid w:val="00C21975"/>
    <w:rsid w:val="00C345B8"/>
    <w:rsid w:val="00C375DF"/>
    <w:rsid w:val="00C41856"/>
    <w:rsid w:val="00C44804"/>
    <w:rsid w:val="00C45100"/>
    <w:rsid w:val="00C50C30"/>
    <w:rsid w:val="00C53A90"/>
    <w:rsid w:val="00C54CFF"/>
    <w:rsid w:val="00C56C1D"/>
    <w:rsid w:val="00C6145F"/>
    <w:rsid w:val="00C640B7"/>
    <w:rsid w:val="00C756A7"/>
    <w:rsid w:val="00C81055"/>
    <w:rsid w:val="00C87CD4"/>
    <w:rsid w:val="00CD3BB8"/>
    <w:rsid w:val="00CE0655"/>
    <w:rsid w:val="00CF7CC2"/>
    <w:rsid w:val="00D0332A"/>
    <w:rsid w:val="00D06A60"/>
    <w:rsid w:val="00D1142D"/>
    <w:rsid w:val="00D149A6"/>
    <w:rsid w:val="00D3049B"/>
    <w:rsid w:val="00D4070C"/>
    <w:rsid w:val="00D462B6"/>
    <w:rsid w:val="00D47010"/>
    <w:rsid w:val="00D51CC7"/>
    <w:rsid w:val="00D57801"/>
    <w:rsid w:val="00D65123"/>
    <w:rsid w:val="00D67E61"/>
    <w:rsid w:val="00D70A7C"/>
    <w:rsid w:val="00D73652"/>
    <w:rsid w:val="00D873B0"/>
    <w:rsid w:val="00DA3EAF"/>
    <w:rsid w:val="00DA7256"/>
    <w:rsid w:val="00DA7D9E"/>
    <w:rsid w:val="00DB1E3A"/>
    <w:rsid w:val="00DB3815"/>
    <w:rsid w:val="00DB5AB6"/>
    <w:rsid w:val="00DB71CF"/>
    <w:rsid w:val="00DB7949"/>
    <w:rsid w:val="00DC1310"/>
    <w:rsid w:val="00DC1600"/>
    <w:rsid w:val="00DC461E"/>
    <w:rsid w:val="00DD2410"/>
    <w:rsid w:val="00DD4524"/>
    <w:rsid w:val="00DD56CC"/>
    <w:rsid w:val="00DD5E25"/>
    <w:rsid w:val="00DE2BD9"/>
    <w:rsid w:val="00DE7EC9"/>
    <w:rsid w:val="00DF1EC1"/>
    <w:rsid w:val="00DF75CE"/>
    <w:rsid w:val="00E04F00"/>
    <w:rsid w:val="00E0527A"/>
    <w:rsid w:val="00E13483"/>
    <w:rsid w:val="00E15F9B"/>
    <w:rsid w:val="00E25982"/>
    <w:rsid w:val="00E31881"/>
    <w:rsid w:val="00E3743F"/>
    <w:rsid w:val="00E436F0"/>
    <w:rsid w:val="00E44ADB"/>
    <w:rsid w:val="00E50D99"/>
    <w:rsid w:val="00E70BDE"/>
    <w:rsid w:val="00E71316"/>
    <w:rsid w:val="00E95294"/>
    <w:rsid w:val="00EA7310"/>
    <w:rsid w:val="00EB1825"/>
    <w:rsid w:val="00EB2C30"/>
    <w:rsid w:val="00EC0695"/>
    <w:rsid w:val="00EC6DDE"/>
    <w:rsid w:val="00EE1908"/>
    <w:rsid w:val="00EF2339"/>
    <w:rsid w:val="00F06A13"/>
    <w:rsid w:val="00F14918"/>
    <w:rsid w:val="00F220D5"/>
    <w:rsid w:val="00F33DBE"/>
    <w:rsid w:val="00F33E54"/>
    <w:rsid w:val="00F350B2"/>
    <w:rsid w:val="00F35615"/>
    <w:rsid w:val="00F365B1"/>
    <w:rsid w:val="00F37820"/>
    <w:rsid w:val="00F462A6"/>
    <w:rsid w:val="00F62E54"/>
    <w:rsid w:val="00F84ADE"/>
    <w:rsid w:val="00F949B7"/>
    <w:rsid w:val="00F952BC"/>
    <w:rsid w:val="00FB1DB2"/>
    <w:rsid w:val="00FB225E"/>
    <w:rsid w:val="00FE2AC9"/>
    <w:rsid w:val="00FE7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27FD2"/>
  <w15:docId w15:val="{2CD99BFC-0B14-4ABE-B442-61A8F77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4EA4"/>
    <w:pPr>
      <w:jc w:val="both"/>
    </w:pPr>
    <w:rPr>
      <w:sz w:val="24"/>
      <w:lang w:eastAsia="en-US"/>
    </w:rPr>
  </w:style>
  <w:style w:type="paragraph" w:styleId="Virsraksts1">
    <w:name w:val="heading 1"/>
    <w:basedOn w:val="Parasts"/>
    <w:next w:val="Parasts"/>
    <w:qFormat/>
    <w:rsid w:val="00903B9C"/>
    <w:pPr>
      <w:keepNext/>
      <w:spacing w:before="240" w:after="60"/>
      <w:outlineLvl w:val="0"/>
    </w:pPr>
    <w:rPr>
      <w:b/>
      <w:kern w:val="28"/>
      <w:sz w:val="28"/>
    </w:rPr>
  </w:style>
  <w:style w:type="paragraph" w:styleId="Virsraksts2">
    <w:name w:val="heading 2"/>
    <w:basedOn w:val="Parasts"/>
    <w:next w:val="Parasts"/>
    <w:qFormat/>
    <w:rsid w:val="00903B9C"/>
    <w:pPr>
      <w:keepNext/>
      <w:spacing w:before="240" w:after="60"/>
      <w:outlineLvl w:val="1"/>
    </w:pPr>
    <w:rPr>
      <w:b/>
      <w:sz w:val="26"/>
    </w:rPr>
  </w:style>
  <w:style w:type="paragraph" w:styleId="Virsraksts3">
    <w:name w:val="heading 3"/>
    <w:basedOn w:val="Parasts"/>
    <w:next w:val="Parasts"/>
    <w:qFormat/>
    <w:rsid w:val="00903B9C"/>
    <w:pPr>
      <w:keepNext/>
      <w:spacing w:before="240" w:after="60"/>
      <w:outlineLvl w:val="2"/>
    </w:pPr>
    <w:rPr>
      <w:b/>
    </w:rPr>
  </w:style>
  <w:style w:type="paragraph" w:styleId="Virsraksts4">
    <w:name w:val="heading 4"/>
    <w:basedOn w:val="Parasts"/>
    <w:next w:val="Parasts"/>
    <w:qFormat/>
    <w:rsid w:val="00903B9C"/>
    <w:pPr>
      <w:keepNext/>
      <w:jc w:val="center"/>
      <w:outlineLvl w:val="3"/>
    </w:pPr>
    <w:rPr>
      <w:spacing w:val="2"/>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903B9C"/>
    <w:pPr>
      <w:tabs>
        <w:tab w:val="center" w:pos="4153"/>
        <w:tab w:val="right" w:pos="8306"/>
      </w:tabs>
    </w:pPr>
    <w:rPr>
      <w:sz w:val="18"/>
    </w:rPr>
  </w:style>
  <w:style w:type="paragraph" w:styleId="Kjene">
    <w:name w:val="footer"/>
    <w:basedOn w:val="Parasts"/>
    <w:link w:val="KjeneRakstz"/>
    <w:uiPriority w:val="99"/>
    <w:rsid w:val="00903B9C"/>
    <w:pPr>
      <w:tabs>
        <w:tab w:val="center" w:pos="4153"/>
        <w:tab w:val="right" w:pos="8306"/>
      </w:tabs>
    </w:pPr>
    <w:rPr>
      <w:sz w:val="18"/>
    </w:rPr>
  </w:style>
  <w:style w:type="character" w:styleId="Lappusesnumurs">
    <w:name w:val="page number"/>
    <w:rsid w:val="00903B9C"/>
    <w:rPr>
      <w:rFonts w:ascii="Times New Roman" w:hAnsi="Times New Roman"/>
    </w:rPr>
  </w:style>
  <w:style w:type="paragraph" w:styleId="Parakstszemobjekta">
    <w:name w:val="caption"/>
    <w:basedOn w:val="Parasts"/>
    <w:next w:val="Parasts"/>
    <w:qFormat/>
    <w:rsid w:val="00903B9C"/>
    <w:pPr>
      <w:framePr w:w="9083" w:hSpace="181" w:wrap="around" w:vAnchor="page" w:hAnchor="page" w:x="1702" w:y="579" w:anchorLock="1"/>
      <w:pBdr>
        <w:bottom w:val="single" w:sz="6" w:space="4" w:color="auto"/>
      </w:pBdr>
      <w:jc w:val="center"/>
    </w:pPr>
    <w:rPr>
      <w:spacing w:val="2"/>
      <w:sz w:val="28"/>
    </w:rPr>
  </w:style>
  <w:style w:type="paragraph" w:styleId="Vresteksts">
    <w:name w:val="footnote text"/>
    <w:basedOn w:val="Parasts"/>
    <w:link w:val="VrestekstsRakstz"/>
    <w:uiPriority w:val="99"/>
    <w:semiHidden/>
    <w:rsid w:val="00903B9C"/>
    <w:rPr>
      <w:sz w:val="20"/>
    </w:rPr>
  </w:style>
  <w:style w:type="character" w:styleId="Vresatsauce">
    <w:name w:val="footnote reference"/>
    <w:uiPriority w:val="99"/>
    <w:semiHidden/>
    <w:rsid w:val="00903B9C"/>
    <w:rPr>
      <w:rFonts w:ascii="Times New Roman" w:hAnsi="Times New Roman"/>
      <w:vertAlign w:val="superscript"/>
    </w:rPr>
  </w:style>
  <w:style w:type="paragraph" w:styleId="Dokumentakarte">
    <w:name w:val="Document Map"/>
    <w:basedOn w:val="Parasts"/>
    <w:semiHidden/>
    <w:rsid w:val="00903B9C"/>
    <w:pPr>
      <w:shd w:val="clear" w:color="auto" w:fill="000080"/>
    </w:pPr>
    <w:rPr>
      <w:rFonts w:ascii="Tahoma" w:hAnsi="Tahoma" w:cs="Tahoma"/>
    </w:rPr>
  </w:style>
  <w:style w:type="character" w:styleId="Hipersaite">
    <w:name w:val="Hyperlink"/>
    <w:rsid w:val="00101EF2"/>
    <w:rPr>
      <w:color w:val="0000FF"/>
      <w:u w:val="single"/>
    </w:rPr>
  </w:style>
  <w:style w:type="paragraph" w:styleId="Balonteksts">
    <w:name w:val="Balloon Text"/>
    <w:basedOn w:val="Parasts"/>
    <w:semiHidden/>
    <w:rsid w:val="00884446"/>
    <w:rPr>
      <w:rFonts w:ascii="Tahoma" w:hAnsi="Tahoma" w:cs="Tahoma"/>
      <w:sz w:val="16"/>
      <w:szCs w:val="16"/>
    </w:rPr>
  </w:style>
  <w:style w:type="character" w:customStyle="1" w:styleId="VrestekstsRakstz">
    <w:name w:val="Vēres teksts Rakstz."/>
    <w:link w:val="Vresteksts"/>
    <w:uiPriority w:val="99"/>
    <w:semiHidden/>
    <w:rsid w:val="008F15DF"/>
    <w:rPr>
      <w:lang w:eastAsia="en-US"/>
    </w:rPr>
  </w:style>
  <w:style w:type="character" w:customStyle="1" w:styleId="KjeneRakstz">
    <w:name w:val="Kājene Rakstz."/>
    <w:basedOn w:val="Noklusjumarindkopasfonts"/>
    <w:link w:val="Kjene"/>
    <w:uiPriority w:val="99"/>
    <w:rsid w:val="006D6710"/>
    <w:rPr>
      <w:sz w:val="18"/>
      <w:lang w:eastAsia="en-US"/>
    </w:rPr>
  </w:style>
  <w:style w:type="paragraph" w:styleId="Pamattekstsaratkpi">
    <w:name w:val="Body Text Indent"/>
    <w:basedOn w:val="Parasts"/>
    <w:link w:val="PamattekstsaratkpiRakstz"/>
    <w:uiPriority w:val="99"/>
    <w:unhideWhenUsed/>
    <w:rsid w:val="002D6CB4"/>
    <w:pPr>
      <w:spacing w:before="120" w:after="120"/>
      <w:ind w:left="283"/>
      <w:jc w:val="left"/>
    </w:pPr>
    <w:rPr>
      <w:sz w:val="20"/>
    </w:rPr>
  </w:style>
  <w:style w:type="character" w:customStyle="1" w:styleId="PamattekstsaratkpiRakstz">
    <w:name w:val="Pamatteksts ar atkāpi Rakstz."/>
    <w:basedOn w:val="Noklusjumarindkopasfonts"/>
    <w:link w:val="Pamattekstsaratkpi"/>
    <w:uiPriority w:val="99"/>
    <w:rsid w:val="002D6CB4"/>
    <w:rPr>
      <w:lang w:eastAsia="en-US"/>
    </w:rPr>
  </w:style>
  <w:style w:type="character" w:styleId="Vietturateksts">
    <w:name w:val="Placeholder Text"/>
    <w:basedOn w:val="Noklusjumarindkopasfonts"/>
    <w:uiPriority w:val="99"/>
    <w:semiHidden/>
    <w:rsid w:val="00826D51"/>
    <w:rPr>
      <w:color w:val="808080"/>
    </w:rPr>
  </w:style>
  <w:style w:type="table" w:styleId="Reatabula">
    <w:name w:val="Table Grid"/>
    <w:basedOn w:val="Parastatabula"/>
    <w:uiPriority w:val="59"/>
    <w:rsid w:val="004E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trip"/>
    <w:basedOn w:val="Parasts"/>
    <w:link w:val="SarakstarindkopaRakstz"/>
    <w:uiPriority w:val="34"/>
    <w:qFormat/>
    <w:rsid w:val="00834390"/>
    <w:pPr>
      <w:ind w:left="720"/>
      <w:contextualSpacing/>
    </w:pPr>
  </w:style>
  <w:style w:type="character" w:customStyle="1" w:styleId="SarakstarindkopaRakstz">
    <w:name w:val="Saraksta rindkopa Rakstz."/>
    <w:aliases w:val="2 Rakstz.,Strip Rakstz."/>
    <w:basedOn w:val="Noklusjumarindkopasfonts"/>
    <w:link w:val="Sarakstarindkopa"/>
    <w:uiPriority w:val="34"/>
    <w:locked/>
    <w:rsid w:val="0083439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52016XC0719%2805%2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ED70216784EE74DB31C404EA9411A16" ma:contentTypeVersion="7" ma:contentTypeDescription="Izveidot jaunu dokumentu." ma:contentTypeScope="" ma:versionID="9239c0859cce409234e7300afe8f6220">
  <xsd:schema xmlns:xsd="http://www.w3.org/2001/XMLSchema" xmlns:xs="http://www.w3.org/2001/XMLSchema" xmlns:p="http://schemas.microsoft.com/office/2006/metadata/properties" xmlns:ns1="http://schemas.microsoft.com/sharepoint/v3" xmlns:ns2="31e03d30-2e8d-4e33-818d-98013f8c7710" xmlns:ns3="572299aa-60cd-4594-8586-d66157377caf" targetNamespace="http://schemas.microsoft.com/office/2006/metadata/properties" ma:root="true" ma:fieldsID="4568e8d3e1232c8f0458f99f7af59157" ns1:_="" ns2:_="" ns3:_="">
    <xsd:import namespace="http://schemas.microsoft.com/sharepoint/v3"/>
    <xsd:import namespace="31e03d30-2e8d-4e33-818d-98013f8c7710"/>
    <xsd:import namespace="572299aa-60cd-4594-8586-d66157377c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Vienotās atbilstības politikas rekvizīti" ma:hidden="true" ma:internalName="_ip_UnifiedCompliancePolicyProperties">
      <xsd:simpleType>
        <xsd:restriction base="dms:Note"/>
      </xsd:simpleType>
    </xsd:element>
    <xsd:element name="_ip_UnifiedCompliancePolicyUIAction" ma:index="14"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03d30-2e8d-4e33-818d-98013f8c7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299aa-60cd-4594-8586-d66157377caf"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30024-E6EF-4C50-B4AC-FC54616EFAC0}">
  <ds:schemaRefs>
    <ds:schemaRef ds:uri="http://schemas.openxmlformats.org/officeDocument/2006/bibliography"/>
  </ds:schemaRefs>
</ds:datastoreItem>
</file>

<file path=customXml/itemProps2.xml><?xml version="1.0" encoding="utf-8"?>
<ds:datastoreItem xmlns:ds="http://schemas.openxmlformats.org/officeDocument/2006/customXml" ds:itemID="{79B10535-1B5D-49D5-AC58-1C4DD3F77A33}">
  <ds:schemaRefs>
    <ds:schemaRef ds:uri="http://schemas.microsoft.com/sharepoint/v3/contenttype/forms"/>
  </ds:schemaRefs>
</ds:datastoreItem>
</file>

<file path=customXml/itemProps3.xml><?xml version="1.0" encoding="utf-8"?>
<ds:datastoreItem xmlns:ds="http://schemas.openxmlformats.org/officeDocument/2006/customXml" ds:itemID="{F8204C02-885C-4172-8D6A-F5F742340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e03d30-2e8d-4e33-818d-98013f8c7710"/>
    <ds:schemaRef ds:uri="572299aa-60cd-4594-8586-d66157377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5135</Words>
  <Characters>2928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Nosūtāmais dokuments</vt:lpstr>
    </vt:vector>
  </TitlesOfParts>
  <Company>FM</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Nosūtāmais dokuments</dc:title>
  <dc:creator>FM</dc:creator>
  <cp:lastModifiedBy>SarmiteMelle</cp:lastModifiedBy>
  <cp:revision>2</cp:revision>
  <cp:lastPrinted>2025-12-12T08:23:00Z</cp:lastPrinted>
  <dcterms:created xsi:type="dcterms:W3CDTF">2025-12-12T15:51:00Z</dcterms:created>
  <dcterms:modified xsi:type="dcterms:W3CDTF">2025-12-12T15:51:00Z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