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C37" w:rsidRDefault="00AC35EC">
      <w:pPr>
        <w:pStyle w:val="Virsraksts1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Arņa Žeiera piemiņas ceļojošais kauss medību šaušanā 11.06.2022. </w:t>
      </w:r>
    </w:p>
    <w:p w:rsidR="00EE1C37" w:rsidRDefault="00AC35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2022. gada 11. jūnijā</w:t>
      </w:r>
    </w:p>
    <w:p w:rsidR="00EE1C37" w:rsidRDefault="00EE1C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Sacensību nolikums</w:t>
      </w:r>
    </w:p>
    <w:p w:rsidR="00EE1C37" w:rsidRDefault="00EE1C37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sz w:val="23"/>
          <w:szCs w:val="23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Vieta: Madonas novads, Praulienas pagasts, šautuve ,,Palejas”.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Laiks: 2022.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gada 11. jūnijā plkst. 09.00-10.00 reģistrācija, atklāšana, instruktāža.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Rīkotājs: Latvijas Mednieku savienība.</w:t>
      </w:r>
    </w:p>
    <w:p w:rsidR="00EE1C37" w:rsidRDefault="00AC35EC">
      <w:pPr>
        <w:shd w:val="clear" w:color="auto" w:fill="FFFFFF"/>
        <w:spacing w:after="0" w:line="345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Sacensības: individuālās.</w:t>
      </w: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Programma: Katrs dalībnieks piedalās 3 dažādās šaušanas disciplīnās.</w:t>
      </w: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AC35EC">
      <w:pPr>
        <w:pStyle w:val="Sarakstarindkopa"/>
        <w:numPr>
          <w:ilvl w:val="0"/>
          <w:numId w:val="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Šaušana ar vītņstobra ieroci 50 m, 100 m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150 m distancē pa stāvošu mērķi, no medību torņa 10 šāvieni 10 min, mērķis Eiropas dzīvnieki. </w:t>
      </w:r>
    </w:p>
    <w:p w:rsidR="00EE1C37" w:rsidRDefault="00AC35EC">
      <w:pPr>
        <w:pStyle w:val="Sarakstarindkopa"/>
        <w:numPr>
          <w:ilvl w:val="0"/>
          <w:numId w:val="1"/>
        </w:numPr>
        <w:shd w:val="clear" w:color="auto" w:fill="FFFFFF"/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Šaušana ar pneimatisko ieroci 10 m distancē pa skrejošu alni (SK 10). Pieci šāvieni mērķim virzoties no kreisās uz labo pusi, pieci šāvieni mērķim virzoties no l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abās uz kreiso pusi. Kopā 10 šāvieni. Dalībnieks izmanto savu vai rīkotāju pneimatisko ieroci.</w:t>
      </w:r>
    </w:p>
    <w:p w:rsidR="00EE1C37" w:rsidRDefault="00AC35EC">
      <w:pPr>
        <w:pStyle w:val="Sarakstarindkopa"/>
        <w:numPr>
          <w:ilvl w:val="0"/>
          <w:numId w:val="1"/>
        </w:numPr>
        <w:spacing w:after="0" w:line="345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“Lubānas pīle” - šaušana ar gludstobra ieroci pa lidojošiem mērķiem (šķīvīšiem). 10 mērķi no 3 stāvvietām.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lv-LV"/>
        </w:rPr>
        <w:br/>
      </w:r>
    </w:p>
    <w:p w:rsidR="00EE1C37" w:rsidRDefault="00AC35EC">
      <w:pPr>
        <w:spacing w:after="0" w:line="345" w:lineRule="atLeas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Papildu izklaides disciplīnas: </w:t>
      </w:r>
    </w:p>
    <w:p w:rsidR="00EE1C37" w:rsidRDefault="00AC35EC">
      <w:pPr>
        <w:pStyle w:val="Sarakstarindkopa"/>
        <w:numPr>
          <w:ilvl w:val="0"/>
          <w:numId w:val="2"/>
        </w:numPr>
        <w:spacing w:after="0" w:line="345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Šaušana ar loku - 10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reizes.</w:t>
      </w:r>
    </w:p>
    <w:p w:rsidR="00EE1C37" w:rsidRDefault="00AC35EC">
      <w:pPr>
        <w:pStyle w:val="Sarakstarindkopa"/>
        <w:numPr>
          <w:ilvl w:val="0"/>
          <w:numId w:val="2"/>
        </w:numPr>
        <w:spacing w:after="0" w:line="345" w:lineRule="atLeast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Šaušana ar mazkalibra ieroci pa skrejošu meža cūku – dalības maksa 10 EUR –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uzvarētājs vinnē visu kopējo dalības maksu.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00FF00"/>
          <w:lang w:eastAsia="lv-LV"/>
        </w:rPr>
        <w:t xml:space="preserve"> </w:t>
      </w: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Vērtēšana : 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Individuāli katrā disciplīnā.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Individuāli kopvērtējumā - no visās disciplīnās iegūto vietu summas (uzvar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dalībnieks ar labāko vietu summu).</w:t>
      </w:r>
    </w:p>
    <w:p w:rsidR="00EE1C37" w:rsidRDefault="00AC35EC">
      <w:pPr>
        <w:shd w:val="clear" w:color="auto" w:fill="FFFFFF"/>
        <w:spacing w:before="330" w:after="33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Vienādu rezultātu gadījumā individuālajā kopvērtējumā – uzvar dalībnieks ar labāko rezultātu disciplīnā - šaušanā ar pneimatisko ieroci pa skrejošu aļņa mērķi 10 m distancē.</w:t>
      </w:r>
    </w:p>
    <w:p w:rsidR="00EE1C37" w:rsidRDefault="00AC35EC">
      <w:pPr>
        <w:shd w:val="clear" w:color="auto" w:fill="FFFFFF"/>
        <w:spacing w:before="330" w:after="33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Vienādu rezultātu gadījumā atsevišķās disciplīn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ās, lai noteiktu uzvarētāju – desmitnieku skaits.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Apbalvošana: 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Tiek apbalvoti pirmo trīs vietu ieguvēji atsevišķās disciplīnās.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Individuālajā kopvērtējumā uzvarētājs saņem ceļojošo piemiņas kausu. </w:t>
      </w: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Pasākuma noslēgumā reģistrētajiem dalībniekiem notiks pā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rsteiguma balvu izloze.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Dalībniekiem tiks nodrošinātas pusdienas.</w:t>
      </w: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EE1C37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EE1C37" w:rsidRDefault="00AC35EC">
      <w:pPr>
        <w:shd w:val="clear" w:color="auto" w:fill="FFFFFF"/>
        <w:spacing w:after="0" w:line="345" w:lineRule="atLeast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 noteikumi: Par ieroča atbilstību tehniskajiem noteikumiem un darbībām ar to atbild ieroča īpašnieks, ievērojot MK 22.07.2014. noteikumus Nr.421 ,,Medību noteikumi”, MK 28.07.2020.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noteikumus Nr. 494 “Šautuvju izveidošanas un darbības, kā arī treniņšaušanas un šaušanas sporta sacensību norises un drošības noteikumi”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citos atbilstošajos normatīvajos aktos reglamentētos drošības pasākumus.</w:t>
      </w:r>
    </w:p>
    <w:p w:rsidR="00EE1C37" w:rsidRDefault="00AC35EC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Informācija: Par sacensību organizāciju un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norisi – Jānis Vilciņš, mob. 28814132</w:t>
      </w:r>
    </w:p>
    <w:p w:rsidR="00EE1C37" w:rsidRDefault="00EE1C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C37" w:rsidRDefault="00AC35EC">
      <w:pPr>
        <w:pStyle w:val="Virsraksts4"/>
        <w:shd w:val="clear" w:color="auto" w:fill="FFFFFF"/>
        <w:spacing w:before="150" w:after="150"/>
        <w:jc w:val="both"/>
      </w:pPr>
      <w:r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Atbalstītāji: Latvijas Mednieku savienība, SIA “Purnavu Muiža”,  Pulsar, www.ieskaties.lv,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00"/>
        </w:rPr>
        <w:t xml:space="preserve"> 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shd w:val="clear" w:color="auto" w:fill="FFFFFF"/>
        </w:rPr>
        <w:t>SIA “ ARTEMĪDA L”, SIA “Ieroči”, šautuve “Palejas”, MK “Prauliena”, MK “Murmastiene”</w:t>
      </w:r>
    </w:p>
    <w:p w:rsidR="00EE1C37" w:rsidRDefault="00EE1C37"/>
    <w:p w:rsidR="00EE1C37" w:rsidRDefault="00AC35EC">
      <w:pPr>
        <w:pStyle w:val="Virsraksts4"/>
        <w:shd w:val="clear" w:color="auto" w:fill="FFFFFF"/>
        <w:spacing w:before="150" w:after="150"/>
        <w:jc w:val="both"/>
      </w:pPr>
      <w:r>
        <w:rPr>
          <w:noProof/>
          <w:lang w:eastAsia="lv-LV"/>
        </w:rPr>
        <w:drawing>
          <wp:inline distT="0" distB="0" distL="0" distR="0">
            <wp:extent cx="1381045" cy="1035859"/>
            <wp:effectExtent l="0" t="0" r="0" b="0"/>
            <wp:docPr id="1" name="Picture 4" descr="Shape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045" cy="10358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lv-LV"/>
        </w:rPr>
        <w:drawing>
          <wp:inline distT="0" distB="0" distL="0" distR="0">
            <wp:extent cx="1773807" cy="985750"/>
            <wp:effectExtent l="0" t="0" r="0" b="4850"/>
            <wp:docPr id="2" name="Picture 3" descr="A picture containing diagram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807" cy="985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1836453" cy="932029"/>
            <wp:effectExtent l="0" t="0" r="0" b="1421"/>
            <wp:docPr id="3" name="Picture 2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6453" cy="9320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1C37" w:rsidRDefault="00EE1C37">
      <w:pPr>
        <w:jc w:val="both"/>
      </w:pPr>
    </w:p>
    <w:p w:rsidR="00EE1C37" w:rsidRDefault="00AC35EC">
      <w:pPr>
        <w:pStyle w:val="Virsraksts4"/>
        <w:shd w:val="clear" w:color="auto" w:fill="FFFFFF"/>
        <w:spacing w:before="150" w:after="150"/>
        <w:jc w:val="both"/>
      </w:pPr>
      <w:r>
        <w:rPr>
          <w:rFonts w:ascii="Times New Roman" w:hAnsi="Times New Roman"/>
          <w:noProof/>
          <w:lang w:eastAsia="lv-LV"/>
        </w:rPr>
        <w:drawing>
          <wp:inline distT="0" distB="0" distL="0" distR="0">
            <wp:extent cx="1286652" cy="921989"/>
            <wp:effectExtent l="0" t="0" r="8748" b="0"/>
            <wp:docPr id="4" name="Picture 4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6652" cy="92198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lv-LV"/>
        </w:rPr>
        <w:drawing>
          <wp:inline distT="0" distB="0" distL="0" distR="0">
            <wp:extent cx="2563218" cy="793379"/>
            <wp:effectExtent l="0" t="0" r="8532" b="6721"/>
            <wp:docPr id="5" name="Picture 5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3218" cy="7933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EE1C37" w:rsidRDefault="00AC35EC">
      <w:pPr>
        <w:jc w:val="both"/>
      </w:pPr>
      <w:r>
        <w:rPr>
          <w:rFonts w:ascii="Times New Roman" w:hAnsi="Times New Roman" w:cs="Times New Roman"/>
        </w:rPr>
        <w:t xml:space="preserve">         </w:t>
      </w:r>
    </w:p>
    <w:p w:rsidR="00EE1C37" w:rsidRDefault="00AC35EC">
      <w:pPr>
        <w:jc w:val="both"/>
      </w:pPr>
      <w:r>
        <w:rPr>
          <w:noProof/>
          <w:lang w:eastAsia="lv-LV"/>
        </w:rPr>
        <w:drawing>
          <wp:inline distT="0" distB="0" distL="0" distR="0">
            <wp:extent cx="2638464" cy="831116"/>
            <wp:effectExtent l="0" t="0" r="9486" b="7084"/>
            <wp:docPr id="6" name="Picture 6" descr="A picture containing text, clip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8464" cy="8311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  <w:lang w:eastAsia="lv-LV"/>
        </w:rPr>
        <w:drawing>
          <wp:inline distT="0" distB="0" distL="0" distR="0">
            <wp:extent cx="2571749" cy="857250"/>
            <wp:effectExtent l="0" t="0" r="1" b="0"/>
            <wp:docPr id="7" name="Picture 7" descr="A picture containing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49" cy="8572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E1C37" w:rsidRDefault="00EE1C37">
      <w:pPr>
        <w:jc w:val="both"/>
      </w:pPr>
    </w:p>
    <w:p w:rsidR="00EE1C37" w:rsidRDefault="00AC35EC">
      <w:pPr>
        <w:jc w:val="both"/>
      </w:pPr>
      <w:r>
        <w:rPr>
          <w:noProof/>
          <w:lang w:eastAsia="lv-LV"/>
        </w:rPr>
        <w:drawing>
          <wp:inline distT="0" distB="0" distL="0" distR="0">
            <wp:extent cx="5731514" cy="712473"/>
            <wp:effectExtent l="0" t="0" r="2536" b="0"/>
            <wp:docPr id="8" name="Picture 8" descr="Schematic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71247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E1C37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5EC" w:rsidRDefault="00AC35EC">
      <w:pPr>
        <w:spacing w:after="0" w:line="240" w:lineRule="auto"/>
      </w:pPr>
      <w:r>
        <w:separator/>
      </w:r>
    </w:p>
  </w:endnote>
  <w:endnote w:type="continuationSeparator" w:id="0">
    <w:p w:rsidR="00AC35EC" w:rsidRDefault="00AC3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5EC" w:rsidRDefault="00AC35E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35EC" w:rsidRDefault="00AC3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606EB"/>
    <w:multiLevelType w:val="multilevel"/>
    <w:tmpl w:val="15BAE1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B3923"/>
    <w:multiLevelType w:val="multilevel"/>
    <w:tmpl w:val="4BAC6A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E1C37"/>
    <w:rsid w:val="00143BCD"/>
    <w:rsid w:val="00AC35EC"/>
    <w:rsid w:val="00E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D20C6D-A3A1-4960-8066-EF79D88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paragraph" w:styleId="Virsraksts1">
    <w:name w:val="heading 1"/>
    <w:basedOn w:val="Parasts"/>
    <w:pPr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bCs/>
      <w:kern w:val="3"/>
      <w:sz w:val="48"/>
      <w:szCs w:val="48"/>
      <w:lang w:eastAsia="lv-LV"/>
    </w:rPr>
  </w:style>
  <w:style w:type="paragraph" w:styleId="Virsraksts4">
    <w:name w:val="heading 4"/>
    <w:basedOn w:val="Parasts"/>
    <w:next w:val="Parasts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Heading1Char">
    <w:name w:val="Heading 1 Char"/>
    <w:basedOn w:val="Noklusjumarindkopasfonts"/>
    <w:rPr>
      <w:rFonts w:ascii="Times New Roman" w:eastAsia="Times New Roman" w:hAnsi="Times New Roman" w:cs="Times New Roman"/>
      <w:b/>
      <w:bCs/>
      <w:kern w:val="3"/>
      <w:sz w:val="48"/>
      <w:szCs w:val="48"/>
      <w:lang w:eastAsia="lv-LV"/>
    </w:rPr>
  </w:style>
  <w:style w:type="character" w:customStyle="1" w:styleId="Date1">
    <w:name w:val="Date1"/>
    <w:basedOn w:val="Noklusjumarindkopasfonts"/>
  </w:style>
  <w:style w:type="paragraph" w:styleId="Paraststmeklis">
    <w:name w:val="Normal (Web)"/>
    <w:basedOn w:val="Parasts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rPr>
      <w:b/>
      <w:bCs/>
    </w:rPr>
  </w:style>
  <w:style w:type="character" w:customStyle="1" w:styleId="Heading4Char">
    <w:name w:val="Heading 4 Char"/>
    <w:basedOn w:val="Noklusjumarindkopasfonts"/>
    <w:rPr>
      <w:rFonts w:ascii="Calibri Light" w:eastAsia="Times New Roman" w:hAnsi="Calibri Light" w:cs="Times New Roman"/>
      <w:i/>
      <w:iCs/>
      <w:color w:val="2F5496"/>
    </w:rPr>
  </w:style>
  <w:style w:type="paragraph" w:styleId="Sarakstarindkopa">
    <w:name w:val="List Paragraph"/>
    <w:basedOn w:val="Parasts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1605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Zeize</dc:creator>
  <dc:description/>
  <cp:lastModifiedBy>IlzeR</cp:lastModifiedBy>
  <cp:revision>2</cp:revision>
  <cp:lastPrinted>2022-06-01T09:46:00Z</cp:lastPrinted>
  <dcterms:created xsi:type="dcterms:W3CDTF">2022-06-02T07:00:00Z</dcterms:created>
  <dcterms:modified xsi:type="dcterms:W3CDTF">2022-06-02T07:00:00Z</dcterms:modified>
</cp:coreProperties>
</file>