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A40A9" w14:textId="4D2A808E" w:rsidR="00A53583" w:rsidRDefault="00A53583" w:rsidP="00A53583">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Pielikums Nr.2</w:t>
      </w:r>
    </w:p>
    <w:p w14:paraId="7DBF8FC6" w14:textId="77777777"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38FB8CDA" w14:textId="53853C02"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1A5784">
        <w:rPr>
          <w:rFonts w:ascii="Times New Roman" w:hAnsi="Times New Roman" w:cs="Times New Roman"/>
          <w:bCs/>
          <w:sz w:val="24"/>
          <w:szCs w:val="24"/>
        </w:rPr>
        <w:t>233</w:t>
      </w:r>
    </w:p>
    <w:p w14:paraId="25574CA8" w14:textId="5CB46D04"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1A5784">
        <w:rPr>
          <w:rFonts w:ascii="Times New Roman" w:hAnsi="Times New Roman" w:cs="Times New Roman"/>
          <w:bCs/>
          <w:sz w:val="24"/>
          <w:szCs w:val="24"/>
        </w:rPr>
        <w:t>13</w:t>
      </w:r>
      <w:r>
        <w:rPr>
          <w:rFonts w:ascii="Times New Roman" w:hAnsi="Times New Roman" w:cs="Times New Roman"/>
          <w:bCs/>
          <w:sz w:val="24"/>
          <w:szCs w:val="24"/>
        </w:rPr>
        <w:t xml:space="preserve">, </w:t>
      </w:r>
      <w:r w:rsidR="001A5784">
        <w:rPr>
          <w:rFonts w:ascii="Times New Roman" w:hAnsi="Times New Roman" w:cs="Times New Roman"/>
          <w:bCs/>
          <w:sz w:val="24"/>
          <w:szCs w:val="24"/>
        </w:rPr>
        <w:t>24</w:t>
      </w:r>
      <w:r>
        <w:rPr>
          <w:rFonts w:ascii="Times New Roman" w:hAnsi="Times New Roman" w:cs="Times New Roman"/>
          <w:bCs/>
          <w:sz w:val="24"/>
          <w:szCs w:val="24"/>
        </w:rPr>
        <w:t>.p.)</w:t>
      </w:r>
    </w:p>
    <w:p w14:paraId="0892ED6D" w14:textId="3E10B986" w:rsidR="00A53583"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AA26D1" w14:textId="77777777" w:rsidR="00A53583"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70625CE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287C9851" w:rsidR="007214AD"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2021.gada 27.maija domes lēmumu Nr.</w:t>
      </w:r>
      <w:r w:rsidR="001A5784">
        <w:rPr>
          <w:rFonts w:ascii="Times New Roman" w:eastAsia="Times New Roman" w:hAnsi="Times New Roman" w:cs="Times New Roman"/>
          <w:b/>
          <w:bCs/>
          <w:color w:val="000000"/>
          <w:sz w:val="20"/>
          <w:szCs w:val="20"/>
          <w:lang w:eastAsia="x-none"/>
        </w:rPr>
        <w:t>233</w:t>
      </w:r>
    </w:p>
    <w:p w14:paraId="4C1EF842" w14:textId="34F8D3DE"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8E4CB68" w14:textId="77777777" w:rsidR="00A53583" w:rsidRPr="007214AD"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40BF33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927C68">
        <w:rPr>
          <w:rFonts w:ascii="Times New Roman" w:eastAsia="Times New Roman" w:hAnsi="Times New Roman" w:cs="Times New Roman"/>
          <w:b/>
          <w:bCs/>
          <w:color w:val="000000"/>
          <w:sz w:val="24"/>
          <w:szCs w:val="29"/>
          <w:lang w:eastAsia="x-none"/>
        </w:rPr>
        <w:t>Madonas novada pašvaldība</w:t>
      </w:r>
      <w:r w:rsidR="00291277" w:rsidRPr="00927C68">
        <w:rPr>
          <w:rFonts w:ascii="Times New Roman" w:eastAsia="Times New Roman" w:hAnsi="Times New Roman" w:cs="Times New Roman"/>
          <w:b/>
          <w:bCs/>
          <w:color w:val="000000"/>
          <w:sz w:val="24"/>
          <w:szCs w:val="29"/>
          <w:lang w:eastAsia="x-none"/>
        </w:rPr>
        <w:t xml:space="preserve">s </w:t>
      </w:r>
      <w:r w:rsidR="006177FC" w:rsidRPr="00927C68">
        <w:rPr>
          <w:rFonts w:ascii="Times New Roman" w:eastAsia="Times New Roman" w:hAnsi="Times New Roman" w:cs="Times New Roman"/>
          <w:b/>
          <w:bCs/>
          <w:color w:val="000000"/>
          <w:sz w:val="24"/>
          <w:szCs w:val="29"/>
          <w:lang w:eastAsia="x-none"/>
        </w:rPr>
        <w:t xml:space="preserve">nekustamā īpašuma ar adresi Kārļa iela 7, Sauleskalns, Bērzaunes pagasts </w:t>
      </w:r>
      <w:r w:rsidR="009056FD" w:rsidRPr="00927C68">
        <w:rPr>
          <w:rFonts w:ascii="Times New Roman" w:eastAsia="Times New Roman" w:hAnsi="Times New Roman" w:cs="Times New Roman"/>
          <w:b/>
          <w:bCs/>
          <w:color w:val="000000"/>
          <w:sz w:val="24"/>
          <w:szCs w:val="29"/>
          <w:lang w:eastAsia="x-none"/>
        </w:rPr>
        <w:t xml:space="preserve"> </w:t>
      </w:r>
      <w:r w:rsidR="00291277" w:rsidRPr="00927C68">
        <w:rPr>
          <w:rFonts w:ascii="Times New Roman" w:eastAsia="Times New Roman" w:hAnsi="Times New Roman" w:cs="Times New Roman"/>
          <w:b/>
          <w:bCs/>
          <w:color w:val="000000"/>
          <w:sz w:val="24"/>
          <w:szCs w:val="29"/>
          <w:lang w:eastAsia="x-none"/>
        </w:rPr>
        <w:t>n</w:t>
      </w:r>
      <w:r w:rsidRPr="00927C68">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10BF4CEA"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355E34">
        <w:rPr>
          <w:rFonts w:ascii="Times New Roman" w:eastAsia="Times New Roman" w:hAnsi="Times New Roman" w:cs="Times New Roman"/>
          <w:b/>
          <w:bCs/>
          <w:sz w:val="24"/>
          <w:szCs w:val="24"/>
          <w:lang w:eastAsia="lv-LV"/>
        </w:rPr>
        <w:t xml:space="preserve">27.maijā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355E3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3E54DFC0"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DD7783">
        <w:rPr>
          <w:rFonts w:ascii="Times New Roman" w:hAnsi="Times New Roman"/>
        </w:rPr>
        <w:t xml:space="preserve">3 ražošanas ēku, </w:t>
      </w:r>
      <w:r w:rsidR="006177FC">
        <w:rPr>
          <w:rFonts w:ascii="Times New Roman" w:hAnsi="Times New Roman"/>
        </w:rPr>
        <w:t xml:space="preserve">jaunbūvējama </w:t>
      </w:r>
      <w:r w:rsidR="00DD7783">
        <w:rPr>
          <w:rFonts w:ascii="Times New Roman" w:hAnsi="Times New Roman"/>
        </w:rPr>
        <w:t xml:space="preserve">asfaltēta laukuma </w:t>
      </w:r>
      <w:r w:rsidRPr="003522A3">
        <w:rPr>
          <w:rFonts w:ascii="Times New Roman" w:hAnsi="Times New Roman"/>
        </w:rPr>
        <w:t xml:space="preserve">un </w:t>
      </w:r>
      <w:r w:rsidR="00C33AD7">
        <w:rPr>
          <w:rFonts w:ascii="Times New Roman" w:hAnsi="Times New Roman"/>
        </w:rPr>
        <w:t xml:space="preserve">tam </w:t>
      </w:r>
      <w:r w:rsidRPr="003522A3">
        <w:rPr>
          <w:rFonts w:ascii="Times New Roman" w:hAnsi="Times New Roman"/>
        </w:rPr>
        <w:t>p</w:t>
      </w:r>
      <w:r w:rsidR="00886E67">
        <w:rPr>
          <w:rFonts w:ascii="Times New Roman" w:hAnsi="Times New Roman"/>
        </w:rPr>
        <w:t>ieguļošā</w:t>
      </w:r>
      <w:r w:rsidRPr="003522A3">
        <w:rPr>
          <w:rFonts w:ascii="Times New Roman" w:hAnsi="Times New Roman"/>
        </w:rPr>
        <w:t xml:space="preserve"> zemes</w:t>
      </w:r>
      <w:r w:rsidR="00886E67">
        <w:rPr>
          <w:rFonts w:ascii="Times New Roman" w:hAnsi="Times New Roman"/>
        </w:rPr>
        <w:t xml:space="preserve"> gabala </w:t>
      </w:r>
      <w:r w:rsidR="00DD7783">
        <w:rPr>
          <w:rFonts w:ascii="Times New Roman" w:hAnsi="Times New Roman"/>
        </w:rPr>
        <w:t>Kārļa</w:t>
      </w:r>
      <w:r w:rsidRPr="003522A3">
        <w:rPr>
          <w:rFonts w:ascii="Times New Roman" w:hAnsi="Times New Roman"/>
        </w:rPr>
        <w:t xml:space="preserve"> ielā </w:t>
      </w:r>
      <w:r w:rsidR="00DD7783">
        <w:rPr>
          <w:rFonts w:ascii="Times New Roman" w:hAnsi="Times New Roman"/>
        </w:rPr>
        <w:t>7</w:t>
      </w:r>
      <w:r w:rsidRPr="003522A3">
        <w:rPr>
          <w:rFonts w:ascii="Times New Roman" w:hAnsi="Times New Roman"/>
        </w:rPr>
        <w:t>, Sauleskalns, Bērzaunes pagasts, Madonas novads (kadastra Nr.</w:t>
      </w:r>
      <w:r w:rsidRPr="003522A3">
        <w:t xml:space="preserve"> </w:t>
      </w:r>
      <w:r w:rsidR="00DD7783" w:rsidRPr="00DD7783">
        <w:rPr>
          <w:rFonts w:ascii="Times New Roman" w:hAnsi="Times New Roman"/>
        </w:rPr>
        <w:t>7046</w:t>
      </w:r>
      <w:r w:rsidR="00DD7783">
        <w:rPr>
          <w:rFonts w:ascii="Times New Roman" w:hAnsi="Times New Roman"/>
        </w:rPr>
        <w:t xml:space="preserve"> </w:t>
      </w:r>
      <w:r w:rsidR="00DD7783" w:rsidRPr="00DD7783">
        <w:rPr>
          <w:rFonts w:ascii="Times New Roman" w:hAnsi="Times New Roman"/>
        </w:rPr>
        <w:t>009</w:t>
      </w:r>
      <w:r w:rsidR="00DD7783">
        <w:rPr>
          <w:rFonts w:ascii="Times New Roman" w:hAnsi="Times New Roman"/>
        </w:rPr>
        <w:t xml:space="preserve"> </w:t>
      </w:r>
      <w:r w:rsidR="00DD7783" w:rsidRPr="00DD7783">
        <w:rPr>
          <w:rFonts w:ascii="Times New Roman" w:hAnsi="Times New Roman"/>
        </w:rPr>
        <w:t>0290</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F98B0CF"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p w14:paraId="1FC3EF42" w14:textId="77777777" w:rsidR="007C5237" w:rsidRDefault="007C5237" w:rsidP="00EC5A0D">
      <w:pPr>
        <w:spacing w:after="0" w:line="20" w:lineRule="atLeast"/>
        <w:jc w:val="center"/>
        <w:rPr>
          <w:rFonts w:ascii="Times New Roman" w:eastAsia="Arial Unicode MS" w:hAnsi="Times New Roman" w:cs="Times New Roman"/>
          <w:b/>
          <w:bCs/>
          <w:sz w:val="24"/>
          <w:szCs w:val="24"/>
        </w:rPr>
      </w:pP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47890B21" w:rsidR="00B93A2C" w:rsidRDefault="00DD7783" w:rsidP="00DD778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w:t>
            </w:r>
            <w:r w:rsidR="00B93A2C">
              <w:rPr>
                <w:rFonts w:ascii="Times New Roman" w:eastAsia="Times New Roman" w:hAnsi="Times New Roman" w:cs="Times New Roman"/>
                <w:lang w:eastAsia="lv-LV"/>
              </w:rPr>
              <w:t xml:space="preserve"> iela </w:t>
            </w:r>
            <w:r>
              <w:rPr>
                <w:rFonts w:ascii="Times New Roman" w:eastAsia="Times New Roman" w:hAnsi="Times New Roman" w:cs="Times New Roman"/>
                <w:lang w:eastAsia="lv-LV"/>
              </w:rPr>
              <w:t>7</w:t>
            </w:r>
            <w:r w:rsidR="00B93A2C">
              <w:rPr>
                <w:rFonts w:ascii="Times New Roman" w:eastAsia="Times New Roman" w:hAnsi="Times New Roman" w:cs="Times New Roman"/>
                <w:lang w:eastAsia="lv-LV"/>
              </w:rPr>
              <w:t>, Sauleskalns, Bērzaunes pagasts, Madonas novads (kadastra Nr.</w:t>
            </w:r>
            <w:r w:rsidRPr="00DD7783">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0290</w:t>
            </w:r>
            <w:r w:rsidR="00B93A2C">
              <w:rPr>
                <w:rFonts w:ascii="Times New Roman" w:eastAsia="Times New Roman" w:hAnsi="Times New Roman" w:cs="Times New Roman"/>
                <w:lang w:eastAsia="lv-LV"/>
              </w:rPr>
              <w:t xml:space="preserve">), zemes vienība ar kadastra apzīmējumu </w:t>
            </w:r>
            <w:r w:rsidRPr="00DD7783">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0285</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2E4A94B9" w:rsidR="00B93A2C" w:rsidRPr="00337647" w:rsidRDefault="00DD7783" w:rsidP="007A29E8">
            <w:pPr>
              <w:spacing w:line="20" w:lineRule="atLeast"/>
              <w:contextualSpacing/>
              <w:rPr>
                <w:rFonts w:ascii="Times New Roman" w:eastAsia="Times New Roman" w:hAnsi="Times New Roman" w:cs="Times New Roman"/>
                <w:color w:val="FF0000"/>
                <w:lang w:eastAsia="lv-LV"/>
              </w:rPr>
            </w:pPr>
            <w:r>
              <w:rPr>
                <w:noProof/>
                <w:lang w:eastAsia="lv-LV"/>
              </w:rPr>
              <w:drawing>
                <wp:inline distT="0" distB="0" distL="0" distR="0" wp14:anchorId="7E383733" wp14:editId="6BA95B57">
                  <wp:extent cx="3718800" cy="3067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8800" cy="3067200"/>
                          </a:xfrm>
                          <a:prstGeom prst="rect">
                            <a:avLst/>
                          </a:prstGeom>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005B246F" w14:textId="77777777" w:rsidR="00DD7783" w:rsidRPr="00DD7783" w:rsidRDefault="00DD7783" w:rsidP="00DD7783">
            <w:pPr>
              <w:jc w:val="both"/>
              <w:rPr>
                <w:rFonts w:ascii="Times New Roman" w:hAnsi="Times New Roman" w:cs="Times New Roman"/>
              </w:rPr>
            </w:pPr>
            <w:r w:rsidRPr="00DD7783">
              <w:rPr>
                <w:rFonts w:ascii="Times New Roman" w:hAnsi="Times New Roman" w:cs="Times New Roman"/>
              </w:rPr>
              <w:t>Uz zemes gabala atrodas 3 būves, kas savstarpēji ir savienotas un veido vienotu ēku kompleksu:</w:t>
            </w:r>
          </w:p>
          <w:p w14:paraId="43917783" w14:textId="45AF4898"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angāra-ražošanas ēkas Nr.2 (kad. apz.70460090007003) apjomu veido 1 virszemes stāvs, kurā reģistrētas 2 ražošanas telpas, to augstums 8,4 m;</w:t>
            </w:r>
          </w:p>
          <w:p w14:paraId="3EA2B77B" w14:textId="223A5569"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 xml:space="preserve">angāra (kad. apz. 70460090007004 )apjomu veido 1 virszemes stāvs, kurā reģistrēta viena telpa, tās augstums 8,4 m; </w:t>
            </w:r>
          </w:p>
          <w:p w14:paraId="0365B836" w14:textId="19A0C3AC"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ražošanas ēkas (kad. apz. 70460090007005) apjomu veido 2 virszemes stāvi. Pirmajā stāvā reģistrētas garāžas, siltummezgla, noliktavu, istabu, WC un dušas telpas, ēkas otrajā stāvā – ražošanas telpas, palīgtelpas, istabas, koridora, WC un dušas telpas.</w:t>
            </w:r>
          </w:p>
          <w:p w14:paraId="7058B0E1" w14:textId="6E38A8AD" w:rsidR="00DD7783" w:rsidRPr="00DD7783" w:rsidRDefault="00DD7783" w:rsidP="00DD7783">
            <w:pPr>
              <w:jc w:val="both"/>
              <w:rPr>
                <w:rFonts w:ascii="Times New Roman" w:hAnsi="Times New Roman" w:cs="Times New Roman"/>
              </w:rPr>
            </w:pPr>
            <w:r>
              <w:rPr>
                <w:rFonts w:ascii="Times New Roman" w:hAnsi="Times New Roman" w:cs="Times New Roman"/>
              </w:rPr>
              <w:t>I</w:t>
            </w:r>
            <w:r w:rsidRPr="00DD7783">
              <w:rPr>
                <w:rFonts w:ascii="Times New Roman" w:hAnsi="Times New Roman" w:cs="Times New Roman"/>
              </w:rPr>
              <w:t>nženierkomunikācijas – elektrība, centralizēta ūdensapgāde, kanalizācija.</w:t>
            </w:r>
          </w:p>
          <w:p w14:paraId="15868999" w14:textId="73E1D8D4" w:rsidR="00DD7783" w:rsidRDefault="00DD7783" w:rsidP="00DD7783">
            <w:pPr>
              <w:jc w:val="both"/>
              <w:rPr>
                <w:rFonts w:ascii="Times New Roman" w:hAnsi="Times New Roman" w:cs="Times New Roman"/>
              </w:rPr>
            </w:pPr>
            <w:r w:rsidRPr="00DD7783">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asfaltēts laukums</w:t>
            </w:r>
            <w:r>
              <w:rPr>
                <w:rFonts w:ascii="Times New Roman" w:hAnsi="Times New Roman" w:cs="Times New Roman"/>
              </w:rPr>
              <w:t xml:space="preserve"> 8372 </w:t>
            </w:r>
            <w:r w:rsidRPr="005321AA">
              <w:rPr>
                <w:rFonts w:ascii="Times New Roman" w:hAnsi="Times New Roman" w:cs="Times New Roman"/>
              </w:rPr>
              <w:t>m</w:t>
            </w:r>
            <w:r w:rsidRPr="005321AA">
              <w:rPr>
                <w:rFonts w:ascii="Times New Roman" w:hAnsi="Times New Roman" w:cs="Times New Roman"/>
                <w:vertAlign w:val="superscript"/>
              </w:rPr>
              <w:t>2</w:t>
            </w:r>
            <w:r w:rsidRPr="00DD7783">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13B711B3" w14:textId="341D63B0" w:rsidR="00DD7783" w:rsidRPr="00DD7783" w:rsidRDefault="00DD7783" w:rsidP="00DD7783">
            <w:pPr>
              <w:jc w:val="both"/>
              <w:rPr>
                <w:rFonts w:ascii="Times New Roman" w:hAnsi="Times New Roman" w:cs="Times New Roman"/>
              </w:rPr>
            </w:pPr>
            <w:r>
              <w:rPr>
                <w:rFonts w:ascii="Times New Roman" w:eastAsia="Times New Roman" w:hAnsi="Times New Roman" w:cs="Times New Roman"/>
                <w:lang w:eastAsia="lv-LV"/>
              </w:rPr>
              <w:t>Objektu plānots nodot ekspluatācijā 2022.gada 1.ceturksnī.</w:t>
            </w:r>
          </w:p>
          <w:p w14:paraId="65596EBF" w14:textId="77777777" w:rsidR="00DD7783" w:rsidRPr="00DD7783" w:rsidRDefault="00DD7783" w:rsidP="00DD7783">
            <w:pPr>
              <w:jc w:val="both"/>
              <w:rPr>
                <w:rFonts w:ascii="Times New Roman" w:hAnsi="Times New Roman" w:cs="Times New Roman"/>
              </w:rPr>
            </w:pPr>
            <w:r w:rsidRPr="00DD7783">
              <w:rPr>
                <w:rFonts w:ascii="Times New Roman" w:hAnsi="Times New Roman" w:cs="Times New Roman"/>
              </w:rPr>
              <w:t xml:space="preserve">Piebraukšana no Kārļa ielas. </w:t>
            </w:r>
          </w:p>
          <w:p w14:paraId="31749BEC" w14:textId="60AAB04C" w:rsidR="00DD7783" w:rsidRDefault="00DD7783" w:rsidP="00DD7783">
            <w:pPr>
              <w:jc w:val="both"/>
              <w:rPr>
                <w:rFonts w:ascii="Times New Roman" w:hAnsi="Times New Roman" w:cs="Times New Roman"/>
              </w:rPr>
            </w:pPr>
            <w:r w:rsidRPr="00DD7783">
              <w:rPr>
                <w:rFonts w:ascii="Times New Roman" w:hAnsi="Times New Roman" w:cs="Times New Roman"/>
              </w:rPr>
              <w:t>Blakus teritorijās dominē industriāla apbūve.</w:t>
            </w:r>
          </w:p>
          <w:p w14:paraId="78F8125A" w14:textId="5FE4EED8" w:rsidR="005321AA"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3FAC9410" w:rsidR="0041669F" w:rsidRDefault="0041669F" w:rsidP="00927C6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927C68">
              <w:rPr>
                <w:rFonts w:ascii="Times New Roman" w:eastAsia="Times New Roman" w:hAnsi="Times New Roman" w:cs="Times New Roman"/>
                <w:lang w:eastAsia="lv-LV"/>
              </w:rPr>
              <w:t>Nr</w:t>
            </w:r>
            <w:r w:rsidR="00927C68" w:rsidRPr="00927C68">
              <w:rPr>
                <w:rFonts w:ascii="Times New Roman" w:eastAsia="Times New Roman" w:hAnsi="Times New Roman" w:cs="Times New Roman"/>
                <w:lang w:eastAsia="lv-LV"/>
              </w:rPr>
              <w:t>.100000603818</w:t>
            </w:r>
            <w:r w:rsidR="00927C68">
              <w:rPr>
                <w:rFonts w:ascii="Times New Roman" w:eastAsia="Times New Roman" w:hAnsi="Times New Roman" w:cs="Times New Roman"/>
                <w:lang w:eastAsia="lv-LV"/>
              </w:rPr>
              <w:t>.</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6D457F8B" w:rsidR="00EF6076" w:rsidRPr="00146B9B" w:rsidRDefault="00FF7EAE"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 xml:space="preserve">Ar būvprojekta dokumentāciju var iepazīties Saieta laukums 1, Madona, Madonas novads, 211.kab. (Madonas novada pašvaldības Projektu </w:t>
            </w:r>
            <w:r w:rsidRPr="00146B9B">
              <w:rPr>
                <w:rFonts w:ascii="Times New Roman" w:hAnsi="Times New Roman" w:cs="Times New Roman"/>
              </w:rPr>
              <w:lastRenderedPageBreak/>
              <w:t>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3907E1E9" w:rsidR="00726A35" w:rsidRDefault="00726A35" w:rsidP="00726A35">
      <w:pPr>
        <w:spacing w:after="0" w:line="20" w:lineRule="atLeast"/>
        <w:ind w:left="426"/>
        <w:contextualSpacing/>
        <w:jc w:val="center"/>
        <w:rPr>
          <w:rFonts w:ascii="Times New Roman" w:eastAsia="Times New Roman" w:hAnsi="Times New Roman" w:cs="Times New Roman"/>
          <w:b/>
          <w:bCs/>
          <w:sz w:val="24"/>
          <w:szCs w:val="24"/>
          <w:lang w:eastAsia="lv-LV"/>
        </w:rPr>
      </w:pPr>
      <w:r w:rsidRPr="007C5237">
        <w:rPr>
          <w:rFonts w:ascii="Times New Roman" w:eastAsia="Times New Roman" w:hAnsi="Times New Roman" w:cs="Times New Roman"/>
          <w:b/>
          <w:bCs/>
          <w:sz w:val="24"/>
          <w:szCs w:val="24"/>
          <w:lang w:eastAsia="lv-LV"/>
        </w:rPr>
        <w:t>3. Nomas tiesības saturs</w:t>
      </w:r>
    </w:p>
    <w:p w14:paraId="7E728587" w14:textId="77777777" w:rsidR="007C5237" w:rsidRPr="007C5237" w:rsidRDefault="007C5237" w:rsidP="00726A35">
      <w:pPr>
        <w:spacing w:after="0" w:line="20" w:lineRule="atLeast"/>
        <w:ind w:left="426"/>
        <w:contextualSpacing/>
        <w:jc w:val="center"/>
        <w:rPr>
          <w:rFonts w:ascii="Times New Roman" w:eastAsia="Times New Roman" w:hAnsi="Times New Roman" w:cs="Times New Roman"/>
          <w:b/>
          <w:bCs/>
          <w:sz w:val="24"/>
          <w:szCs w:val="24"/>
          <w:lang w:eastAsia="lv-LV"/>
        </w:rPr>
      </w:pPr>
    </w:p>
    <w:tbl>
      <w:tblPr>
        <w:tblStyle w:val="Reatabula"/>
        <w:tblW w:w="0" w:type="auto"/>
        <w:jc w:val="center"/>
        <w:tblLook w:val="04A0" w:firstRow="1" w:lastRow="0" w:firstColumn="1" w:lastColumn="0" w:noHBand="0" w:noVBand="1"/>
      </w:tblPr>
      <w:tblGrid>
        <w:gridCol w:w="709"/>
        <w:gridCol w:w="1418"/>
        <w:gridCol w:w="6804"/>
      </w:tblGrid>
      <w:tr w:rsidR="00726A35" w14:paraId="0AF41AFB" w14:textId="77777777" w:rsidTr="00D9799C">
        <w:trPr>
          <w:jc w:val="center"/>
        </w:trPr>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534EE283" w:rsidR="004553D7" w:rsidRDefault="00EF6076" w:rsidP="00FF7EAE">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D9799C">
        <w:trPr>
          <w:jc w:val="center"/>
        </w:trPr>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2B90101F"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w:t>
            </w:r>
            <w:r w:rsidR="00FE10A1" w:rsidRPr="00D577EA">
              <w:rPr>
                <w:rFonts w:ascii="Times New Roman" w:hAnsi="Times New Roman"/>
              </w:rPr>
              <w:t>Eiropas</w:t>
            </w:r>
            <w:r w:rsidRPr="00D577EA">
              <w:rPr>
                <w:rFonts w:ascii="Times New Roman" w:hAnsi="Times New Roman"/>
              </w:rPr>
              <w:t xml:space="preserve">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2"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2"/>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D9799C">
        <w:trPr>
          <w:jc w:val="center"/>
        </w:trPr>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390B31CC" w:rsidR="00726A35" w:rsidRPr="00196F0A" w:rsidRDefault="008F589A" w:rsidP="00FF7EAE">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Ražošanas un noliktavu</w:t>
            </w:r>
            <w:r w:rsidR="00196F0A" w:rsidRPr="00196F0A">
              <w:rPr>
                <w:rFonts w:ascii="Times New Roman" w:hAnsi="Times New Roman" w:cs="Times New Roman"/>
              </w:rPr>
              <w:t xml:space="preserve"> telpas, kas izmantojamas atbilstoši iznomātāja mērķim un ēk</w:t>
            </w:r>
            <w:r>
              <w:rPr>
                <w:rFonts w:ascii="Times New Roman" w:hAnsi="Times New Roman" w:cs="Times New Roman"/>
              </w:rPr>
              <w:t>u</w:t>
            </w:r>
            <w:r w:rsidR="00196F0A" w:rsidRPr="00196F0A">
              <w:rPr>
                <w:rFonts w:ascii="Times New Roman" w:hAnsi="Times New Roman" w:cs="Times New Roman"/>
              </w:rPr>
              <w:t xml:space="preserve"> telpu funkcionālajam plānojumam</w:t>
            </w:r>
            <w:r w:rsidR="00FF7EAE">
              <w:rPr>
                <w:rFonts w:ascii="Times New Roman" w:eastAsia="Times New Roman" w:hAnsi="Times New Roman" w:cs="Times New Roman"/>
                <w:lang w:eastAsia="lv-LV"/>
              </w:rPr>
              <w:t>.</w:t>
            </w:r>
          </w:p>
        </w:tc>
      </w:tr>
      <w:tr w:rsidR="00726A35" w14:paraId="0850D943" w14:textId="77777777" w:rsidTr="00D9799C">
        <w:trPr>
          <w:jc w:val="center"/>
        </w:trPr>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17D331AB" w:rsidR="00A6650B" w:rsidRPr="008F589A" w:rsidRDefault="0003152B" w:rsidP="00A6650B">
            <w:pPr>
              <w:pStyle w:val="Sarakstarindkopa"/>
              <w:numPr>
                <w:ilvl w:val="0"/>
                <w:numId w:val="10"/>
              </w:numPr>
              <w:spacing w:after="40"/>
              <w:jc w:val="both"/>
              <w:rPr>
                <w:rFonts w:ascii="Times New Roman" w:eastAsia="Calibri" w:hAnsi="Times New Roman" w:cs="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8F589A" w:rsidRPr="008F589A">
              <w:rPr>
                <w:rFonts w:ascii="Times New Roman" w:hAnsi="Times New Roman" w:cs="Times New Roman"/>
                <w:b/>
              </w:rPr>
              <w:t>970 000 EUR</w:t>
            </w:r>
            <w:r w:rsidR="008F589A" w:rsidRPr="008F589A">
              <w:rPr>
                <w:rFonts w:ascii="Times New Roman" w:hAnsi="Times New Roman" w:cs="Times New Roman"/>
              </w:rPr>
              <w:t xml:space="preserve"> (deviņi simti septiņdesmit tūkstoši eiro)</w:t>
            </w:r>
            <w:r w:rsidRPr="008F589A">
              <w:rPr>
                <w:rFonts w:ascii="Times New Roman" w:hAnsi="Times New Roman" w:cs="Times New Roman"/>
              </w:rPr>
              <w:t xml:space="preserve"> apmērā;</w:t>
            </w:r>
          </w:p>
          <w:p w14:paraId="57927107" w14:textId="1D4B20EB"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8F589A">
              <w:rPr>
                <w:rFonts w:ascii="Times New Roman" w:hAnsi="Times New Roman" w:cs="Times New Roman"/>
                <w:b/>
              </w:rPr>
              <w:t>10</w:t>
            </w:r>
            <w:r w:rsidR="005B018C" w:rsidRPr="00803980">
              <w:rPr>
                <w:rFonts w:ascii="Times New Roman" w:hAnsi="Times New Roman" w:cs="Times New Roman"/>
                <w:b/>
              </w:rPr>
              <w:t xml:space="preserve"> (</w:t>
            </w:r>
            <w:r w:rsidR="008F589A">
              <w:rPr>
                <w:rFonts w:ascii="Times New Roman" w:hAnsi="Times New Roman" w:cs="Times New Roman"/>
                <w:b/>
              </w:rPr>
              <w:t>desmit</w:t>
            </w:r>
            <w:r w:rsidR="005B018C" w:rsidRPr="00803980">
              <w:rPr>
                <w:rFonts w:ascii="Times New Roman" w:hAnsi="Times New Roman" w:cs="Times New Roman"/>
                <w:b/>
              </w:rPr>
              <w: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D9799C">
        <w:trPr>
          <w:jc w:val="center"/>
        </w:trPr>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096E7046"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xml:space="preserve"> atbalstam (Eiropas Savienības Oficiālais Vēstnesis, 2013. gada 24. </w:t>
            </w:r>
            <w:r w:rsidRPr="0055617C">
              <w:rPr>
                <w:rFonts w:ascii="Times New Roman" w:hAnsi="Times New Roman" w:cs="Times New Roman"/>
                <w:shd w:val="clear" w:color="auto" w:fill="FFFFFF"/>
              </w:rPr>
              <w:lastRenderedPageBreak/>
              <w:t>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w:t>
            </w:r>
            <w:r w:rsidR="00FE10A1" w:rsidRPr="0055617C">
              <w:rPr>
                <w:rFonts w:ascii="Times New Roman" w:hAnsi="Times New Roman" w:cs="Times New Roman"/>
                <w:shd w:val="clear" w:color="auto" w:fill="FFFFFF"/>
              </w:rPr>
              <w:t>komercdarbības</w:t>
            </w:r>
            <w:r w:rsidR="00457CF1" w:rsidRPr="0055617C">
              <w:rPr>
                <w:rFonts w:ascii="Times New Roman" w:hAnsi="Times New Roman" w:cs="Times New Roman"/>
                <w:shd w:val="clear" w:color="auto" w:fill="FFFFFF"/>
              </w:rPr>
              <w:t xml:space="preserve"> atbalstu par 50% samazinātas nomas maksas apmērā uz noteiktu termiņu, ņemot vērā  nomas līguma noteikumus, kurus Nomnieks ir apņēmies izpildīt saistībā ar Iznomātāja realizētajā projektā sasniedzamajiem rādītājiem. </w:t>
            </w:r>
          </w:p>
          <w:p w14:paraId="414890E3" w14:textId="24E1353E" w:rsidR="00D63BBC" w:rsidRDefault="007214AD" w:rsidP="00C06587">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shd w:val="clear" w:color="auto" w:fill="FFFFFF"/>
              </w:rPr>
              <w:t>Nomnieks nomas maksu sāk maksāt ar brīdi, kad Objekts ar pieņemšanas – nodošanas aktu tiek nodots Nomniekam no</w:t>
            </w:r>
            <w:r w:rsidR="00C06587">
              <w:rPr>
                <w:rFonts w:ascii="Times New Roman" w:hAnsi="Times New Roman" w:cs="Times New Roman"/>
                <w:shd w:val="clear" w:color="auto" w:fill="FFFFFF"/>
              </w:rPr>
              <w:t xml:space="preserve">mā. </w:t>
            </w:r>
          </w:p>
        </w:tc>
      </w:tr>
      <w:tr w:rsidR="00726A35" w14:paraId="2239DBDB" w14:textId="77777777" w:rsidTr="00D9799C">
        <w:trPr>
          <w:jc w:val="center"/>
        </w:trPr>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3E7779F5" w:rsidR="00726A35" w:rsidRPr="008F589A" w:rsidRDefault="00927C68" w:rsidP="006417F4">
            <w:pPr>
              <w:spacing w:line="20" w:lineRule="atLeast"/>
              <w:contextualSpacing/>
              <w:jc w:val="both"/>
              <w:rPr>
                <w:rFonts w:ascii="Times New Roman" w:eastAsia="Times New Roman" w:hAnsi="Times New Roman" w:cs="Times New Roman"/>
                <w:highlight w:val="yellow"/>
                <w:lang w:eastAsia="lv-LV"/>
              </w:rPr>
            </w:pPr>
            <w:r w:rsidRPr="00272F53">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w:t>
            </w:r>
            <w:r>
              <w:rPr>
                <w:rFonts w:ascii="Times New Roman" w:eastAsia="Times New Roman" w:hAnsi="Times New Roman" w:cs="Times New Roman"/>
                <w:lang w:eastAsia="lv-LV"/>
              </w:rPr>
              <w:t>.</w:t>
            </w:r>
            <w:r w:rsidRPr="00272F53">
              <w:rPr>
                <w:rFonts w:ascii="Times New Roman" w:eastAsia="Times New Roman" w:hAnsi="Times New Roman" w:cs="Times New Roman"/>
                <w:lang w:eastAsia="lv-LV"/>
              </w:rPr>
              <w:t xml:space="preserve"> Apakšnomas termiņš nosakāms īsāks par Nomniekam noteikto termiņu. Apakšnomas nomas maksa nedrīkst būt lielāka par Nomniekam noteikto nomas maksu.</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jc w:val="center"/>
        <w:tblLook w:val="04A0" w:firstRow="1" w:lastRow="0" w:firstColumn="1" w:lastColumn="0" w:noHBand="0" w:noVBand="1"/>
      </w:tblPr>
      <w:tblGrid>
        <w:gridCol w:w="715"/>
        <w:gridCol w:w="2126"/>
        <w:gridCol w:w="6096"/>
      </w:tblGrid>
      <w:tr w:rsidR="002C09F0" w14:paraId="27004129" w14:textId="77777777" w:rsidTr="00D9799C">
        <w:trPr>
          <w:jc w:val="center"/>
        </w:trPr>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D9799C">
        <w:trPr>
          <w:jc w:val="center"/>
        </w:trPr>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D9799C">
        <w:trPr>
          <w:jc w:val="center"/>
        </w:trPr>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6BC7060C" w:rsidR="002C09F0" w:rsidRPr="008F589A" w:rsidRDefault="002C09F0" w:rsidP="00FF7EAE">
            <w:pPr>
              <w:spacing w:line="20" w:lineRule="atLeast"/>
              <w:contextualSpacing/>
              <w:jc w:val="both"/>
              <w:rPr>
                <w:rFonts w:ascii="Times New Roman" w:eastAsia="Times New Roman" w:hAnsi="Times New Roman" w:cs="Times New Roman"/>
                <w:highlight w:val="yellow"/>
                <w:lang w:eastAsia="lv-LV"/>
              </w:rPr>
            </w:pPr>
            <w:r w:rsidRPr="00FF7EAE">
              <w:rPr>
                <w:rFonts w:ascii="Times New Roman" w:eastAsia="Times New Roman" w:hAnsi="Times New Roman" w:cs="Times New Roman"/>
                <w:lang w:eastAsia="lv-LV"/>
              </w:rPr>
              <w:t xml:space="preserve">EUR </w:t>
            </w:r>
            <w:r w:rsidR="008F589A" w:rsidRPr="00FF7EAE">
              <w:rPr>
                <w:rFonts w:ascii="Times New Roman" w:eastAsia="Times New Roman" w:hAnsi="Times New Roman" w:cs="Times New Roman"/>
                <w:lang w:eastAsia="lv-LV"/>
              </w:rPr>
              <w:t>500</w:t>
            </w:r>
            <w:r w:rsidRPr="00FF7EAE">
              <w:rPr>
                <w:rFonts w:ascii="Times New Roman" w:eastAsia="Times New Roman" w:hAnsi="Times New Roman" w:cs="Times New Roman"/>
                <w:lang w:eastAsia="lv-LV"/>
              </w:rPr>
              <w:t>,00 (</w:t>
            </w:r>
            <w:r w:rsidR="008F589A" w:rsidRPr="00FF7EAE">
              <w:rPr>
                <w:rFonts w:ascii="Times New Roman" w:eastAsia="Times New Roman" w:hAnsi="Times New Roman" w:cs="Times New Roman"/>
                <w:lang w:eastAsia="lv-LV"/>
              </w:rPr>
              <w:t>pieci simti</w:t>
            </w:r>
            <w:r w:rsidRPr="00FF7EAE">
              <w:rPr>
                <w:rFonts w:ascii="Times New Roman" w:eastAsia="Times New Roman" w:hAnsi="Times New Roman" w:cs="Times New Roman"/>
                <w:lang w:eastAsia="lv-LV"/>
              </w:rPr>
              <w:t xml:space="preserve"> euro) mēnesī, </w:t>
            </w:r>
            <w:r w:rsidRPr="00FF7EAE">
              <w:rPr>
                <w:rFonts w:ascii="Times New Roman" w:hAnsi="Times New Roman" w:cs="Times New Roman"/>
              </w:rPr>
              <w:t xml:space="preserve">neieskaitot PVN. </w:t>
            </w:r>
          </w:p>
        </w:tc>
      </w:tr>
      <w:tr w:rsidR="009656C1" w14:paraId="5732ED5A" w14:textId="77777777" w:rsidTr="00D9799C">
        <w:trPr>
          <w:jc w:val="center"/>
        </w:trPr>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62428D3A" w:rsidR="009656C1" w:rsidRPr="008F589A" w:rsidRDefault="009656C1" w:rsidP="009B0113">
            <w:pPr>
              <w:spacing w:line="20" w:lineRule="atLeast"/>
              <w:contextualSpacing/>
              <w:jc w:val="both"/>
              <w:rPr>
                <w:rFonts w:ascii="Times New Roman" w:eastAsia="Times New Roman" w:hAnsi="Times New Roman" w:cs="Times New Roman"/>
                <w:highlight w:val="yellow"/>
                <w:lang w:eastAsia="lv-LV"/>
              </w:rPr>
            </w:pPr>
            <w:r w:rsidRPr="00927C68">
              <w:rPr>
                <w:rFonts w:ascii="Times New Roman" w:eastAsia="Times New Roman" w:hAnsi="Times New Roman" w:cs="Times New Roman"/>
                <w:lang w:eastAsia="lv-LV"/>
              </w:rPr>
              <w:t>EUR 5</w:t>
            </w:r>
            <w:r w:rsidR="00597002" w:rsidRPr="00927C68">
              <w:rPr>
                <w:rFonts w:ascii="Times New Roman" w:eastAsia="Times New Roman" w:hAnsi="Times New Roman" w:cs="Times New Roman"/>
                <w:lang w:eastAsia="lv-LV"/>
              </w:rPr>
              <w:t>,00</w:t>
            </w:r>
            <w:r w:rsidRPr="00927C68">
              <w:rPr>
                <w:rFonts w:ascii="Times New Roman" w:eastAsia="Times New Roman" w:hAnsi="Times New Roman" w:cs="Times New Roman"/>
                <w:lang w:eastAsia="lv-LV"/>
              </w:rPr>
              <w:t xml:space="preserve"> (pieci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486DF37F" w:rsidR="00EC5A0D"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D2334AA" w14:textId="77777777" w:rsidR="007C5237" w:rsidRPr="00D23BA4" w:rsidRDefault="007C5237" w:rsidP="00D23BA4">
      <w:pPr>
        <w:spacing w:after="0" w:line="20" w:lineRule="atLeast"/>
        <w:ind w:left="540"/>
        <w:jc w:val="center"/>
        <w:rPr>
          <w:rFonts w:ascii="Times New Roman" w:eastAsia="Arial Unicode MS" w:hAnsi="Times New Roman" w:cs="Times New Roman"/>
          <w:b/>
          <w:bCs/>
          <w:sz w:val="24"/>
          <w:szCs w:val="24"/>
        </w:rPr>
      </w:pP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lastRenderedPageBreak/>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saistīta ar šādām tautsaimniecības nozarēm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278A772F"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8F589A">
        <w:rPr>
          <w:rFonts w:ascii="Times New Roman" w:hAnsi="Times New Roman" w:cs="Times New Roman"/>
          <w:b/>
        </w:rPr>
        <w:t>10</w:t>
      </w:r>
      <w:r w:rsidR="00D23BA4" w:rsidRPr="00E104B9">
        <w:rPr>
          <w:rFonts w:ascii="Times New Roman" w:hAnsi="Times New Roman" w:cs="Times New Roman"/>
          <w:b/>
        </w:rPr>
        <w:t xml:space="preserve"> (</w:t>
      </w:r>
      <w:r w:rsidR="008F589A">
        <w:rPr>
          <w:rFonts w:ascii="Times New Roman" w:hAnsi="Times New Roman" w:cs="Times New Roman"/>
          <w:b/>
        </w:rPr>
        <w:t>desmit</w:t>
      </w:r>
      <w:r w:rsidR="00D23BA4" w:rsidRPr="00E104B9">
        <w:rPr>
          <w:rFonts w:ascii="Times New Roman" w:hAnsi="Times New Roman" w:cs="Times New Roman"/>
          <w:b/>
        </w:rPr>
        <w: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8F589A" w:rsidRPr="008F589A">
        <w:rPr>
          <w:rFonts w:ascii="Times New Roman" w:hAnsi="Times New Roman" w:cs="Times New Roman"/>
          <w:b/>
        </w:rPr>
        <w:t>970 000 EUR</w:t>
      </w:r>
      <w:r w:rsidR="008F589A" w:rsidRPr="008F589A">
        <w:rPr>
          <w:rFonts w:ascii="Times New Roman" w:hAnsi="Times New Roman" w:cs="Times New Roman"/>
        </w:rPr>
        <w:t xml:space="preserve"> (deviņi simti septiņdesmit tūkstoši eiro) </w:t>
      </w:r>
      <w:r w:rsidR="00D23BA4" w:rsidRPr="00E104B9">
        <w:rPr>
          <w:rFonts w:ascii="Times New Roman" w:hAnsi="Times New Roman" w:cs="Times New Roman"/>
        </w:rPr>
        <w:t xml:space="preserve">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2488DA84"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w:t>
      </w:r>
      <w:r w:rsidR="008F589A">
        <w:rPr>
          <w:rFonts w:ascii="Times New Roman" w:hAnsi="Times New Roman"/>
        </w:rPr>
        <w:t xml:space="preserve"> un 2020.gadu</w:t>
      </w:r>
      <w:r w:rsidR="00D23BA4" w:rsidRPr="00E104B9">
        <w:rPr>
          <w:rFonts w:ascii="Times New Roman" w:hAnsi="Times New Roman"/>
        </w:rPr>
        <w:t xml:space="preserve"> </w:t>
      </w:r>
      <w:r w:rsidR="008F589A">
        <w:rPr>
          <w:rFonts w:ascii="Times New Roman" w:hAnsi="Times New Roman"/>
        </w:rPr>
        <w:t>(vai</w:t>
      </w:r>
      <w:r w:rsidR="00D23BA4" w:rsidRPr="00E104B9">
        <w:rPr>
          <w:rFonts w:ascii="Times New Roman" w:hAnsi="Times New Roman"/>
        </w:rPr>
        <w:t xml:space="preserve"> operatīvā bilance par 2020.gadu</w:t>
      </w:r>
      <w:r w:rsidR="008F589A">
        <w:rPr>
          <w:rFonts w:ascii="Times New Roman" w:hAnsi="Times New Roman"/>
        </w:rPr>
        <w:t>)</w:t>
      </w:r>
      <w:r w:rsidR="00D23BA4" w:rsidRPr="00E104B9">
        <w:rPr>
          <w:rFonts w:ascii="Times New Roman" w:hAnsi="Times New Roman"/>
        </w:rPr>
        <w:t>;</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69E1652B" w:rsidR="00693312" w:rsidRDefault="00FF7EAE"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2962DCCF"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355E34">
        <w:rPr>
          <w:rFonts w:ascii="Times New Roman" w:eastAsia="Times New Roman" w:hAnsi="Times New Roman" w:cs="Times New Roman"/>
          <w:b/>
          <w:lang w:eastAsia="lv-LV"/>
        </w:rPr>
        <w:t xml:space="preserve"> 15.jūnijam </w:t>
      </w:r>
      <w:r w:rsidR="00EC5A0D" w:rsidRPr="00626415">
        <w:rPr>
          <w:rFonts w:ascii="Times New Roman" w:eastAsia="Times New Roman" w:hAnsi="Times New Roman" w:cs="Times New Roman"/>
          <w:b/>
          <w:lang w:eastAsia="lv-LV"/>
        </w:rPr>
        <w:t>plkst.</w:t>
      </w:r>
      <w:r w:rsidR="00355E34">
        <w:rPr>
          <w:rFonts w:ascii="Times New Roman" w:eastAsia="Times New Roman" w:hAnsi="Times New Roman" w:cs="Times New Roman"/>
          <w:b/>
          <w:lang w:eastAsia="lv-LV"/>
        </w:rPr>
        <w:t>17:00</w:t>
      </w:r>
      <w:r w:rsidR="00EC5A0D" w:rsidRPr="00626415">
        <w:rPr>
          <w:rFonts w:ascii="Times New Roman" w:eastAsia="Times New Roman" w:hAnsi="Times New Roman" w:cs="Times New Roman"/>
          <w:b/>
          <w:lang w:eastAsia="lv-LV"/>
        </w:rPr>
        <w:t>.</w:t>
      </w:r>
      <w:r w:rsidR="00355E34">
        <w:rPr>
          <w:rFonts w:ascii="Times New Roman" w:eastAsia="Times New Roman" w:hAnsi="Times New Roman" w:cs="Times New Roman"/>
          <w:b/>
          <w:lang w:eastAsia="lv-LV"/>
        </w:rPr>
        <w:t xml:space="preserve">, </w:t>
      </w:r>
      <w:r w:rsidR="00EC5A0D" w:rsidRPr="00626415">
        <w:rPr>
          <w:rFonts w:ascii="Times New Roman" w:eastAsia="Times New Roman" w:hAnsi="Times New Roman" w:cs="Times New Roman"/>
          <w:lang w:eastAsia="lv-LV"/>
        </w:rPr>
        <w:t xml:space="preserve">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w:t>
      </w:r>
      <w:r w:rsidR="00AD08A7" w:rsidRPr="00927C68">
        <w:rPr>
          <w:rFonts w:ascii="Times New Roman" w:eastAsia="Times New Roman" w:hAnsi="Times New Roman" w:cs="Times New Roman"/>
          <w:lang w:eastAsia="lv-LV"/>
        </w:rPr>
        <w:t xml:space="preserve">Pieteikums </w:t>
      </w:r>
      <w:r w:rsidR="00597002" w:rsidRPr="00927C68">
        <w:rPr>
          <w:rFonts w:ascii="Times New Roman" w:hAnsi="Times New Roman"/>
        </w:rPr>
        <w:t>nekustamā īpašuma ar adresi</w:t>
      </w:r>
      <w:r w:rsidR="00FF7EAE" w:rsidRPr="00927C68">
        <w:rPr>
          <w:rFonts w:ascii="Times New Roman" w:hAnsi="Times New Roman"/>
        </w:rPr>
        <w:t xml:space="preserve">  </w:t>
      </w:r>
      <w:r w:rsidR="00FA507F" w:rsidRPr="00927C68">
        <w:rPr>
          <w:rFonts w:ascii="Times New Roman" w:hAnsi="Times New Roman"/>
        </w:rPr>
        <w:t>Kārļa</w:t>
      </w:r>
      <w:r w:rsidR="00AD08A7" w:rsidRPr="00927C68">
        <w:rPr>
          <w:rFonts w:ascii="Times New Roman" w:hAnsi="Times New Roman"/>
        </w:rPr>
        <w:t xml:space="preserve"> ielā </w:t>
      </w:r>
      <w:r w:rsidR="00FA507F" w:rsidRPr="00927C68">
        <w:rPr>
          <w:rFonts w:ascii="Times New Roman" w:hAnsi="Times New Roman"/>
        </w:rPr>
        <w:t>7</w:t>
      </w:r>
      <w:r w:rsidR="00AD08A7" w:rsidRPr="00927C68">
        <w:rPr>
          <w:rFonts w:ascii="Times New Roman" w:hAnsi="Times New Roman"/>
        </w:rPr>
        <w:t xml:space="preserve">, Sauleskalns, </w:t>
      </w:r>
      <w:r w:rsidR="00AD08A7" w:rsidRPr="00927C68">
        <w:rPr>
          <w:rFonts w:ascii="Times New Roman" w:hAnsi="Times New Roman"/>
        </w:rPr>
        <w:lastRenderedPageBreak/>
        <w:t>Bērzaunes pagasts, Madonas novads (kadastra Nr.</w:t>
      </w:r>
      <w:r w:rsidR="00AD08A7" w:rsidRPr="00927C68">
        <w:t xml:space="preserve"> </w:t>
      </w:r>
      <w:r w:rsidR="00FA507F" w:rsidRPr="00927C68">
        <w:rPr>
          <w:rFonts w:ascii="Times New Roman" w:eastAsia="Times New Roman" w:hAnsi="Times New Roman" w:cs="Times New Roman"/>
          <w:lang w:eastAsia="lv-LV"/>
        </w:rPr>
        <w:t>7046 009 0290</w:t>
      </w:r>
      <w:r w:rsidR="00927C68" w:rsidRPr="00927C68">
        <w:rPr>
          <w:rFonts w:ascii="Times New Roman" w:eastAsia="Times New Roman" w:hAnsi="Times New Roman" w:cs="Times New Roman"/>
          <w:lang w:eastAsia="lv-LV"/>
        </w:rPr>
        <w:t>) nomas tiesību izsolei</w:t>
      </w:r>
      <w:r w:rsidR="00AD08A7" w:rsidRPr="00927C68">
        <w:rPr>
          <w:rFonts w:ascii="Times New Roman" w:hAnsi="Times New Roman"/>
        </w:rPr>
        <w:t>”.</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7A2152D5"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w:t>
      </w:r>
      <w:r w:rsidR="00FE10A1">
        <w:rPr>
          <w:rFonts w:ascii="Times New Roman" w:hAnsi="Times New Roman"/>
          <w:color w:val="000000"/>
          <w:lang w:eastAsia="lv-LV"/>
        </w:rPr>
        <w:t>e-pasta</w:t>
      </w:r>
      <w:r w:rsidR="007E78FF">
        <w:rPr>
          <w:rFonts w:ascii="Times New Roman" w:hAnsi="Times New Roman"/>
          <w:color w:val="000000"/>
          <w:lang w:eastAsia="lv-LV"/>
        </w:rPr>
        <w:t xml:space="preserve">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02911A32" w14:textId="77777777" w:rsidR="007C5237" w:rsidRDefault="007C5237" w:rsidP="002F17D0">
      <w:pPr>
        <w:spacing w:after="0" w:line="20" w:lineRule="atLeast"/>
        <w:jc w:val="center"/>
        <w:rPr>
          <w:rFonts w:ascii="Times New Roman" w:eastAsia="Arial Unicode MS" w:hAnsi="Times New Roman" w:cs="Times New Roman"/>
          <w:b/>
          <w:bCs/>
          <w:sz w:val="24"/>
          <w:szCs w:val="24"/>
        </w:rPr>
      </w:pPr>
    </w:p>
    <w:p w14:paraId="4A55BA1C" w14:textId="77777777" w:rsidR="007C5237" w:rsidRDefault="007C5237" w:rsidP="002F17D0">
      <w:pPr>
        <w:spacing w:after="0" w:line="20" w:lineRule="atLeast"/>
        <w:jc w:val="center"/>
        <w:rPr>
          <w:rFonts w:ascii="Times New Roman" w:eastAsia="Arial Unicode MS" w:hAnsi="Times New Roman" w:cs="Times New Roman"/>
          <w:b/>
          <w:bCs/>
          <w:sz w:val="24"/>
          <w:szCs w:val="24"/>
        </w:rPr>
      </w:pPr>
    </w:p>
    <w:p w14:paraId="43C0A8C9" w14:textId="7BB0D7DA" w:rsidR="00EC5A0D" w:rsidRPr="007C5237" w:rsidRDefault="002F17D0" w:rsidP="002F17D0">
      <w:pPr>
        <w:spacing w:after="0" w:line="20" w:lineRule="atLeast"/>
        <w:jc w:val="center"/>
        <w:rPr>
          <w:rFonts w:ascii="Times New Roman" w:eastAsia="Arial Unicode MS" w:hAnsi="Times New Roman" w:cs="Times New Roman"/>
          <w:b/>
          <w:bCs/>
          <w:sz w:val="24"/>
          <w:szCs w:val="24"/>
        </w:rPr>
      </w:pPr>
      <w:r w:rsidRPr="007C5237">
        <w:rPr>
          <w:rFonts w:ascii="Times New Roman" w:eastAsia="Arial Unicode MS" w:hAnsi="Times New Roman" w:cs="Times New Roman"/>
          <w:b/>
          <w:bCs/>
          <w:sz w:val="24"/>
          <w:szCs w:val="24"/>
        </w:rPr>
        <w:t xml:space="preserve">6. </w:t>
      </w:r>
      <w:r w:rsidR="00EC5A0D" w:rsidRPr="007C5237">
        <w:rPr>
          <w:rFonts w:ascii="Times New Roman" w:eastAsia="Arial Unicode MS" w:hAnsi="Times New Roman" w:cs="Times New Roman"/>
          <w:b/>
          <w:bCs/>
          <w:sz w:val="24"/>
          <w:szCs w:val="24"/>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27D93ED"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 xml:space="preserve">2021.gada </w:t>
      </w:r>
      <w:r w:rsidR="00355E34">
        <w:rPr>
          <w:rFonts w:ascii="Times New Roman" w:eastAsia="Times New Roman" w:hAnsi="Times New Roman" w:cs="Times New Roman"/>
          <w:b/>
          <w:bCs/>
          <w:lang w:eastAsia="lv-LV"/>
        </w:rPr>
        <w:t xml:space="preserve">18.jūnijā </w:t>
      </w:r>
      <w:r w:rsidR="009056FD" w:rsidRPr="007214AD">
        <w:rPr>
          <w:rFonts w:ascii="Times New Roman" w:eastAsia="Times New Roman" w:hAnsi="Times New Roman" w:cs="Times New Roman"/>
          <w:b/>
          <w:bCs/>
          <w:lang w:eastAsia="lv-LV"/>
        </w:rPr>
        <w:t>plkst.</w:t>
      </w:r>
      <w:r w:rsidR="00355E34">
        <w:rPr>
          <w:rFonts w:ascii="Times New Roman" w:eastAsia="Times New Roman" w:hAnsi="Times New Roman" w:cs="Times New Roman"/>
          <w:b/>
          <w:bCs/>
          <w:lang w:eastAsia="lv-LV"/>
        </w:rPr>
        <w:t xml:space="preserve"> 14:00</w:t>
      </w:r>
      <w:r w:rsidR="009056FD" w:rsidRPr="007214AD">
        <w:rPr>
          <w:rFonts w:ascii="Times New Roman" w:eastAsia="Times New Roman" w:hAnsi="Times New Roman" w:cs="Times New Roman"/>
          <w:b/>
          <w:bCs/>
          <w:lang w:eastAsia="lv-LV"/>
        </w:rPr>
        <w:t>.</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Pr="007C5237" w:rsidRDefault="002F17D0" w:rsidP="002F17D0">
      <w:pPr>
        <w:spacing w:after="0" w:line="20" w:lineRule="atLeast"/>
        <w:ind w:left="360"/>
        <w:jc w:val="center"/>
        <w:rPr>
          <w:rFonts w:ascii="Times New Roman" w:eastAsia="Arial Unicode MS" w:hAnsi="Times New Roman" w:cs="Times New Roman"/>
          <w:b/>
          <w:sz w:val="24"/>
          <w:szCs w:val="24"/>
        </w:rPr>
      </w:pPr>
      <w:r w:rsidRPr="007C5237">
        <w:rPr>
          <w:rFonts w:ascii="Times New Roman" w:eastAsia="Arial Unicode MS" w:hAnsi="Times New Roman" w:cs="Times New Roman"/>
          <w:b/>
          <w:sz w:val="24"/>
          <w:szCs w:val="24"/>
        </w:rPr>
        <w:t xml:space="preserve">7. </w:t>
      </w:r>
      <w:r w:rsidR="00EC5A0D" w:rsidRPr="007C5237">
        <w:rPr>
          <w:rFonts w:ascii="Times New Roman" w:eastAsia="Arial Unicode MS" w:hAnsi="Times New Roman" w:cs="Times New Roman"/>
          <w:b/>
          <w:sz w:val="24"/>
          <w:szCs w:val="24"/>
        </w:rPr>
        <w:t>Izsoles rezultātu apstiprināšana</w:t>
      </w:r>
      <w:r w:rsidR="00CF0F4C" w:rsidRPr="007C5237">
        <w:rPr>
          <w:rFonts w:ascii="Times New Roman" w:eastAsia="Arial Unicode MS" w:hAnsi="Times New Roman" w:cs="Times New Roman"/>
          <w:b/>
          <w:sz w:val="24"/>
          <w:szCs w:val="24"/>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58843F37" w:rsidR="00826C19" w:rsidRPr="007C5237" w:rsidRDefault="002F17D0" w:rsidP="00826C19">
      <w:pPr>
        <w:spacing w:after="0" w:line="20" w:lineRule="atLeast"/>
        <w:ind w:left="360"/>
        <w:jc w:val="center"/>
        <w:rPr>
          <w:rFonts w:ascii="Times New Roman" w:eastAsia="Arial Unicode MS" w:hAnsi="Times New Roman" w:cs="Times New Roman"/>
          <w:b/>
          <w:bCs/>
          <w:sz w:val="24"/>
          <w:szCs w:val="24"/>
        </w:rPr>
      </w:pPr>
      <w:r w:rsidRPr="007C5237">
        <w:rPr>
          <w:rFonts w:ascii="Times New Roman" w:eastAsia="Arial Unicode MS" w:hAnsi="Times New Roman" w:cs="Times New Roman"/>
          <w:b/>
          <w:bCs/>
          <w:sz w:val="24"/>
          <w:szCs w:val="24"/>
        </w:rPr>
        <w:t xml:space="preserve">8. </w:t>
      </w:r>
      <w:r w:rsidR="00EC5A0D" w:rsidRPr="007C5237">
        <w:rPr>
          <w:rFonts w:ascii="Times New Roman" w:eastAsia="Arial Unicode MS" w:hAnsi="Times New Roman" w:cs="Times New Roman"/>
          <w:b/>
          <w:bCs/>
          <w:sz w:val="24"/>
          <w:szCs w:val="24"/>
        </w:rPr>
        <w:t>Nobeiguma noteikumi</w:t>
      </w:r>
    </w:p>
    <w:p w14:paraId="647A17D1" w14:textId="77777777" w:rsidR="007C5237" w:rsidRDefault="007C5237" w:rsidP="00826C19">
      <w:pPr>
        <w:spacing w:after="0" w:line="20" w:lineRule="atLeast"/>
        <w:ind w:left="360"/>
        <w:jc w:val="center"/>
        <w:rPr>
          <w:rFonts w:ascii="Times New Roman" w:eastAsia="Arial Unicode MS" w:hAnsi="Times New Roman" w:cs="Times New Roman"/>
          <w:b/>
          <w:bCs/>
        </w:rPr>
      </w:pP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F8BA501" w14:textId="77777777" w:rsidR="007214AD" w:rsidRDefault="007214AD" w:rsidP="00EC5A0D">
      <w:pPr>
        <w:spacing w:after="0" w:line="20" w:lineRule="atLeast"/>
        <w:jc w:val="right"/>
        <w:rPr>
          <w:rFonts w:ascii="Times New Roman" w:eastAsia="Arial Unicode MS" w:hAnsi="Times New Roman" w:cs="Times New Roman"/>
          <w:b/>
          <w:i/>
        </w:rPr>
      </w:pPr>
    </w:p>
    <w:p w14:paraId="6191741C" w14:textId="77777777" w:rsidR="007214AD" w:rsidRDefault="007214AD" w:rsidP="00EC5A0D">
      <w:pPr>
        <w:spacing w:after="0" w:line="20" w:lineRule="atLeast"/>
        <w:jc w:val="right"/>
        <w:rPr>
          <w:rFonts w:ascii="Times New Roman" w:eastAsia="Arial Unicode MS" w:hAnsi="Times New Roman" w:cs="Times New Roman"/>
          <w:b/>
          <w:i/>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4B578C45" w14:textId="77777777" w:rsidR="00FF7EAE" w:rsidRDefault="00FF7EAE">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4EC08913"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41F29277" w14:textId="7D0D87DE" w:rsidR="00927C68" w:rsidRPr="00927C68" w:rsidRDefault="001A578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597002" w:rsidRPr="00927C68">
        <w:rPr>
          <w:rFonts w:ascii="Times New Roman" w:eastAsia="Times New Roman" w:hAnsi="Times New Roman" w:cs="Times New Roman"/>
          <w:b/>
          <w:bCs/>
          <w:i/>
          <w:iCs/>
          <w:color w:val="000000"/>
          <w:sz w:val="20"/>
          <w:szCs w:val="20"/>
          <w:lang w:eastAsia="x-none"/>
        </w:rPr>
        <w:t xml:space="preserve"> </w:t>
      </w:r>
      <w:r w:rsidR="00927C68" w:rsidRPr="00927C68">
        <w:rPr>
          <w:rFonts w:ascii="Times New Roman" w:eastAsia="Times New Roman" w:hAnsi="Times New Roman" w:cs="Times New Roman"/>
          <w:b/>
          <w:bCs/>
          <w:i/>
          <w:iCs/>
          <w:color w:val="000000"/>
          <w:sz w:val="20"/>
          <w:szCs w:val="20"/>
          <w:lang w:eastAsia="x-none"/>
        </w:rPr>
        <w:t>Madonas novada pašvaldības n</w:t>
      </w:r>
      <w:r w:rsidR="00597002" w:rsidRPr="00927C68">
        <w:rPr>
          <w:rFonts w:ascii="Times New Roman" w:eastAsia="Times New Roman" w:hAnsi="Times New Roman" w:cs="Times New Roman"/>
          <w:b/>
          <w:bCs/>
          <w:i/>
          <w:iCs/>
          <w:color w:val="000000"/>
          <w:sz w:val="20"/>
          <w:szCs w:val="20"/>
          <w:lang w:eastAsia="x-none"/>
        </w:rPr>
        <w:t xml:space="preserve">ekustamā īpašuma ar adresi Kārļa iela 7, </w:t>
      </w:r>
    </w:p>
    <w:p w14:paraId="35991D5E" w14:textId="65D1F00A" w:rsidR="00FF7EAE" w:rsidRDefault="00597002"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927C68">
        <w:rPr>
          <w:rFonts w:ascii="Times New Roman" w:eastAsia="Times New Roman" w:hAnsi="Times New Roman" w:cs="Times New Roman"/>
          <w:b/>
          <w:bCs/>
          <w:i/>
          <w:iCs/>
          <w:color w:val="000000"/>
          <w:sz w:val="20"/>
          <w:szCs w:val="20"/>
          <w:lang w:eastAsia="x-none"/>
        </w:rPr>
        <w:t>Sauleskalns</w:t>
      </w:r>
      <w:r w:rsidR="006177FC" w:rsidRPr="00927C68">
        <w:rPr>
          <w:rFonts w:ascii="Times New Roman" w:eastAsia="Times New Roman" w:hAnsi="Times New Roman" w:cs="Times New Roman"/>
          <w:b/>
          <w:bCs/>
          <w:i/>
          <w:iCs/>
          <w:color w:val="000000"/>
          <w:sz w:val="20"/>
          <w:szCs w:val="20"/>
          <w:lang w:eastAsia="x-none"/>
        </w:rPr>
        <w:t>, Bērzaunes pagasts</w:t>
      </w:r>
    </w:p>
    <w:p w14:paraId="5CEDD30B" w14:textId="2F5A486C"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0FFCE793"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w:t>
      </w:r>
      <w:r w:rsidR="00FE10A1">
        <w:rPr>
          <w:rFonts w:ascii="Times New Roman" w:eastAsiaTheme="minorEastAsia" w:hAnsi="Times New Roman"/>
          <w:sz w:val="20"/>
          <w:szCs w:val="20"/>
        </w:rPr>
        <w:t>e-pasts</w:t>
      </w:r>
      <w:r w:rsidR="00CF0F4C">
        <w:rPr>
          <w:rFonts w:ascii="Times New Roman" w:eastAsiaTheme="minorEastAsia" w:hAnsi="Times New Roman"/>
          <w:sz w:val="20"/>
          <w:szCs w:val="20"/>
        </w:rPr>
        <w:t xml:space="preserve">)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65014AFF" w14:textId="77777777" w:rsidR="00597002" w:rsidRDefault="00EC5A0D" w:rsidP="00C940B8">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0123ECD1" w:rsidR="00C940B8" w:rsidRPr="00927C68" w:rsidRDefault="00927C68" w:rsidP="00C940B8">
      <w:pPr>
        <w:spacing w:after="0" w:line="240" w:lineRule="auto"/>
        <w:jc w:val="center"/>
        <w:rPr>
          <w:rFonts w:ascii="Times New Roman" w:eastAsiaTheme="minorEastAsia" w:hAnsi="Times New Roman" w:cs="Times New Roman"/>
          <w:b/>
          <w:bCs/>
        </w:rPr>
      </w:pPr>
      <w:r>
        <w:rPr>
          <w:rFonts w:ascii="Times New Roman" w:eastAsia="Times New Roman" w:hAnsi="Times New Roman" w:cs="Times New Roman"/>
          <w:b/>
          <w:bCs/>
          <w:i/>
          <w:iCs/>
          <w:color w:val="000000"/>
          <w:lang w:eastAsia="x-none"/>
        </w:rPr>
        <w:t>n</w:t>
      </w:r>
      <w:r w:rsidR="00597002" w:rsidRPr="00927C68">
        <w:rPr>
          <w:rFonts w:ascii="Times New Roman" w:eastAsia="Times New Roman" w:hAnsi="Times New Roman" w:cs="Times New Roman"/>
          <w:b/>
          <w:bCs/>
          <w:i/>
          <w:iCs/>
          <w:color w:val="000000"/>
          <w:lang w:eastAsia="x-none"/>
        </w:rPr>
        <w:t>ekustamā īpašuma ar adresi Kārļa iela 7, Sauleskalns</w:t>
      </w:r>
      <w:r w:rsidR="006177FC" w:rsidRPr="00927C68">
        <w:rPr>
          <w:rFonts w:ascii="Times New Roman" w:eastAsia="Times New Roman" w:hAnsi="Times New Roman" w:cs="Times New Roman"/>
          <w:b/>
          <w:bCs/>
          <w:i/>
          <w:iCs/>
          <w:color w:val="000000"/>
          <w:lang w:eastAsia="x-none"/>
        </w:rPr>
        <w:t>, Bērzaunes pagasts</w:t>
      </w:r>
      <w:r w:rsidR="00FF7EAE" w:rsidRPr="00927C68">
        <w:rPr>
          <w:rFonts w:ascii="Times New Roman" w:eastAsia="Times New Roman" w:hAnsi="Times New Roman" w:cs="Times New Roman"/>
          <w:b/>
          <w:bCs/>
          <w:i/>
          <w:iCs/>
          <w:color w:val="000000"/>
          <w:lang w:eastAsia="x-none"/>
        </w:rPr>
        <w:t xml:space="preserve"> </w:t>
      </w:r>
      <w:r w:rsidR="00C940B8" w:rsidRPr="00927C68">
        <w:rPr>
          <w:rFonts w:ascii="Times New Roman" w:eastAsia="Times New Roman" w:hAnsi="Times New Roman" w:cs="Times New Roman"/>
          <w:b/>
          <w:bCs/>
          <w:i/>
          <w:iCs/>
          <w:color w:val="000000"/>
          <w:lang w:eastAsia="x-none"/>
        </w:rPr>
        <w:t>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747F4ADE"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uz </w:t>
      </w:r>
      <w:r w:rsidR="00927C68">
        <w:rPr>
          <w:rFonts w:ascii="Times New Roman" w:eastAsiaTheme="minorEastAsia" w:hAnsi="Times New Roman"/>
          <w:sz w:val="24"/>
          <w:szCs w:val="24"/>
        </w:rPr>
        <w:t xml:space="preserve">nekustamā īpašuma - </w:t>
      </w:r>
      <w:r w:rsidR="00FA507F">
        <w:rPr>
          <w:rFonts w:ascii="Times New Roman" w:hAnsi="Times New Roman"/>
        </w:rPr>
        <w:t xml:space="preserve">3 ražošanas ēku, </w:t>
      </w:r>
      <w:r w:rsidR="00927C68">
        <w:rPr>
          <w:rFonts w:ascii="Times New Roman" w:hAnsi="Times New Roman"/>
        </w:rPr>
        <w:t xml:space="preserve">jaunbūvējama asfaltēta laukuma </w:t>
      </w:r>
      <w:r w:rsidR="00927C68" w:rsidRPr="003522A3">
        <w:rPr>
          <w:rFonts w:ascii="Times New Roman" w:hAnsi="Times New Roman"/>
        </w:rPr>
        <w:t xml:space="preserve">un </w:t>
      </w:r>
      <w:r w:rsidR="00927C68">
        <w:rPr>
          <w:rFonts w:ascii="Times New Roman" w:hAnsi="Times New Roman"/>
        </w:rPr>
        <w:t xml:space="preserve">tam </w:t>
      </w:r>
      <w:r w:rsidR="00927C68" w:rsidRPr="003522A3">
        <w:rPr>
          <w:rFonts w:ascii="Times New Roman" w:hAnsi="Times New Roman"/>
        </w:rPr>
        <w:t>p</w:t>
      </w:r>
      <w:r w:rsidR="00927C68">
        <w:rPr>
          <w:rFonts w:ascii="Times New Roman" w:hAnsi="Times New Roman"/>
        </w:rPr>
        <w:t>ieguļošā</w:t>
      </w:r>
      <w:r w:rsidR="00927C68" w:rsidRPr="003522A3">
        <w:rPr>
          <w:rFonts w:ascii="Times New Roman" w:hAnsi="Times New Roman"/>
        </w:rPr>
        <w:t xml:space="preserve"> zemes</w:t>
      </w:r>
      <w:r w:rsidR="00927C68">
        <w:rPr>
          <w:rFonts w:ascii="Times New Roman" w:hAnsi="Times New Roman"/>
        </w:rPr>
        <w:t xml:space="preserve"> gabala ar adresi </w:t>
      </w:r>
      <w:r w:rsidR="00FA507F">
        <w:rPr>
          <w:rFonts w:ascii="Times New Roman" w:hAnsi="Times New Roman"/>
        </w:rPr>
        <w:t>Kārļa</w:t>
      </w:r>
      <w:r w:rsidR="00927C68">
        <w:rPr>
          <w:rFonts w:ascii="Times New Roman" w:hAnsi="Times New Roman"/>
        </w:rPr>
        <w:t xml:space="preserve"> iela</w:t>
      </w:r>
      <w:r w:rsidR="00FA507F" w:rsidRPr="003522A3">
        <w:rPr>
          <w:rFonts w:ascii="Times New Roman" w:hAnsi="Times New Roman"/>
        </w:rPr>
        <w:t xml:space="preserve"> </w:t>
      </w:r>
      <w:r w:rsidR="00FA507F">
        <w:rPr>
          <w:rFonts w:ascii="Times New Roman" w:hAnsi="Times New Roman"/>
        </w:rPr>
        <w:t>7</w:t>
      </w:r>
      <w:r w:rsidR="00FA507F" w:rsidRPr="003522A3">
        <w:rPr>
          <w:rFonts w:ascii="Times New Roman" w:hAnsi="Times New Roman"/>
        </w:rPr>
        <w:t>, Sauleskalns, Bērzaunes pagasts, Madonas novads (kadastra Nr.</w:t>
      </w:r>
      <w:r w:rsidR="00FA507F" w:rsidRPr="003522A3">
        <w:t xml:space="preserve"> </w:t>
      </w:r>
      <w:r w:rsidR="00FA507F" w:rsidRPr="00DD7783">
        <w:rPr>
          <w:rFonts w:ascii="Times New Roman" w:hAnsi="Times New Roman"/>
        </w:rPr>
        <w:t>7046</w:t>
      </w:r>
      <w:r w:rsidR="00FA507F">
        <w:rPr>
          <w:rFonts w:ascii="Times New Roman" w:hAnsi="Times New Roman"/>
        </w:rPr>
        <w:t xml:space="preserve"> </w:t>
      </w:r>
      <w:r w:rsidR="00FA507F" w:rsidRPr="00DD7783">
        <w:rPr>
          <w:rFonts w:ascii="Times New Roman" w:hAnsi="Times New Roman"/>
        </w:rPr>
        <w:t>009</w:t>
      </w:r>
      <w:r w:rsidR="00FA507F">
        <w:rPr>
          <w:rFonts w:ascii="Times New Roman" w:hAnsi="Times New Roman"/>
        </w:rPr>
        <w:t xml:space="preserve"> </w:t>
      </w:r>
      <w:r w:rsidR="00FA507F" w:rsidRPr="00DD7783">
        <w:rPr>
          <w:rFonts w:ascii="Times New Roman" w:hAnsi="Times New Roman"/>
        </w:rPr>
        <w:t>0290</w:t>
      </w:r>
      <w:r w:rsidR="00FA507F" w:rsidRPr="003522A3">
        <w:rPr>
          <w:rFonts w:ascii="Times New Roman" w:hAnsi="Times New Roman"/>
        </w:rPr>
        <w:t>)</w:t>
      </w:r>
      <w:r w:rsidR="00FA507F" w:rsidRPr="003522A3">
        <w:rPr>
          <w:rFonts w:ascii="Times New Roman" w:eastAsia="Times New Roman" w:hAnsi="Times New Roman" w:cs="Times New Roman"/>
          <w:lang w:eastAsia="lv-LV"/>
        </w:rPr>
        <w:t xml:space="preserve"> </w:t>
      </w:r>
      <w:r w:rsidR="00C940B8" w:rsidRPr="003522A3">
        <w:rPr>
          <w:rFonts w:ascii="Times New Roman" w:eastAsia="Times New Roman" w:hAnsi="Times New Roman" w:cs="Times New Roman"/>
          <w:lang w:eastAsia="lv-LV"/>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495B3986"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piekrītu manu personas datu apstrādei;</w:t>
      </w:r>
    </w:p>
    <w:p w14:paraId="484B3F8E" w14:textId="4DEC0F4D"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apliecinu, ka šajā iesniegumā norādītā informācija ir patiesa;</w:t>
      </w:r>
    </w:p>
    <w:p w14:paraId="09D20CD2" w14:textId="6B5C725C"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apzinos, ka par nepatiesu ziņu sniegšanu mani var saukt pie normatīvajos aktos noteiktās atbildības;</w:t>
      </w:r>
    </w:p>
    <w:p w14:paraId="5A428CC9" w14:textId="41B5C529" w:rsidR="00DB394F" w:rsidRPr="00D9799C" w:rsidRDefault="00DB394F" w:rsidP="00D9799C">
      <w:pPr>
        <w:pStyle w:val="Sarakstarindkopa"/>
        <w:numPr>
          <w:ilvl w:val="0"/>
          <w:numId w:val="12"/>
        </w:numPr>
        <w:shd w:val="clear" w:color="auto" w:fill="FFFFFF"/>
        <w:spacing w:after="0" w:line="20" w:lineRule="atLeast"/>
        <w:ind w:left="284" w:hanging="207"/>
        <w:jc w:val="both"/>
        <w:rPr>
          <w:rFonts w:ascii="Times New Roman" w:eastAsia="Times New Roman" w:hAnsi="Times New Roman" w:cs="Times New Roman"/>
          <w:i/>
          <w:iCs/>
          <w:sz w:val="20"/>
          <w:szCs w:val="20"/>
          <w:lang w:eastAsia="lv-LV"/>
        </w:rPr>
      </w:pPr>
      <w:r w:rsidRPr="00D9799C">
        <w:rPr>
          <w:rFonts w:ascii="Times New Roman" w:eastAsia="Calibri" w:hAnsi="Times New Roman" w:cs="Times New Roman"/>
          <w:i/>
          <w:sz w:val="20"/>
          <w:szCs w:val="20"/>
        </w:rPr>
        <w:t>p</w:t>
      </w:r>
      <w:r w:rsidRPr="00D9799C">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D9799C">
        <w:rPr>
          <w:rFonts w:ascii="Times New Roman" w:eastAsia="Times New Roman" w:hAnsi="Times New Roman" w:cs="Times New Roman"/>
          <w:i/>
          <w:iCs/>
          <w:sz w:val="20"/>
          <w:szCs w:val="20"/>
          <w:lang w:eastAsia="lv-LV"/>
        </w:rPr>
        <w:t>;</w:t>
      </w:r>
    </w:p>
    <w:p w14:paraId="017A6F67" w14:textId="4658F05A" w:rsidR="00196F0A" w:rsidRPr="00D9799C" w:rsidRDefault="00196F0A" w:rsidP="00D9799C">
      <w:pPr>
        <w:pStyle w:val="Sarakstarindkopa"/>
        <w:numPr>
          <w:ilvl w:val="0"/>
          <w:numId w:val="12"/>
        </w:numPr>
        <w:spacing w:after="40" w:line="240" w:lineRule="auto"/>
        <w:ind w:left="284" w:hanging="207"/>
        <w:jc w:val="both"/>
        <w:rPr>
          <w:rFonts w:ascii="Times New Roman" w:hAnsi="Times New Roman"/>
          <w:i/>
          <w:iCs/>
          <w:sz w:val="20"/>
          <w:szCs w:val="20"/>
          <w:lang w:eastAsia="lv-LV"/>
        </w:rPr>
      </w:pPr>
      <w:r w:rsidRPr="00D9799C">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18C2500B"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00FA507F">
        <w:rPr>
          <w:rFonts w:ascii="Times New Roman" w:hAnsi="Times New Roman" w:cs="Times New Roman"/>
          <w:b/>
        </w:rPr>
        <w:t>10</w:t>
      </w:r>
      <w:r w:rsidRPr="00C940B8">
        <w:rPr>
          <w:rFonts w:ascii="Times New Roman" w:hAnsi="Times New Roman" w:cs="Times New Roman"/>
          <w:b/>
        </w:rPr>
        <w:t xml:space="preserve"> (</w:t>
      </w:r>
      <w:r w:rsidR="00FA507F">
        <w:rPr>
          <w:rFonts w:ascii="Times New Roman" w:hAnsi="Times New Roman" w:cs="Times New Roman"/>
          <w:b/>
        </w:rPr>
        <w:t>desmit</w:t>
      </w:r>
      <w:r w:rsidRPr="00C940B8">
        <w:rPr>
          <w:rFonts w:ascii="Times New Roman" w:hAnsi="Times New Roman" w:cs="Times New Roman"/>
          <w:b/>
        </w:rPr>
        <w:t>) jaunu darba vietu</w:t>
      </w:r>
      <w:r w:rsidRPr="00C940B8">
        <w:rPr>
          <w:rFonts w:ascii="Times New Roman" w:hAnsi="Times New Roman" w:cs="Times New Roman"/>
        </w:rPr>
        <w:t xml:space="preserve"> izveidi un investīciju veikšanu savos nemateriālajos ieguldījumos un pamatlīdzekļos ne mazāk kā </w:t>
      </w:r>
      <w:r w:rsidR="00FA507F" w:rsidRPr="008F589A">
        <w:rPr>
          <w:rFonts w:ascii="Times New Roman" w:hAnsi="Times New Roman" w:cs="Times New Roman"/>
          <w:b/>
        </w:rPr>
        <w:t>970 000 EUR</w:t>
      </w:r>
      <w:r w:rsidR="00FA507F" w:rsidRPr="008F589A">
        <w:rPr>
          <w:rFonts w:ascii="Times New Roman" w:hAnsi="Times New Roman" w:cs="Times New Roman"/>
        </w:rPr>
        <w:t xml:space="preserve"> (deviņi simti septiņdesmit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0D7F6178" w14:textId="77777777" w:rsidR="00FA507F" w:rsidRDefault="00196F0A" w:rsidP="00FA507F">
      <w:pPr>
        <w:spacing w:after="4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 xml:space="preserve">gada pārskats par 2019.gadu (neattiecas uz komersantiem, kas reģistrēti Latvijas Republikas Uzņēmumu reģistrā vai citas valsts komercreģistrā pēc 01.01.2020.) </w:t>
      </w:r>
      <w:r w:rsidR="00FA507F">
        <w:rPr>
          <w:rFonts w:ascii="Times New Roman" w:hAnsi="Times New Roman"/>
        </w:rPr>
        <w:t>un 2020.gadu</w:t>
      </w:r>
      <w:r w:rsidR="00FA507F" w:rsidRPr="00E104B9">
        <w:rPr>
          <w:rFonts w:ascii="Times New Roman" w:hAnsi="Times New Roman"/>
        </w:rPr>
        <w:t xml:space="preserve"> </w:t>
      </w:r>
      <w:r w:rsidR="00FA507F">
        <w:rPr>
          <w:rFonts w:ascii="Times New Roman" w:hAnsi="Times New Roman"/>
        </w:rPr>
        <w:t>(vai</w:t>
      </w:r>
      <w:r w:rsidR="00FA507F" w:rsidRPr="00E104B9">
        <w:rPr>
          <w:rFonts w:ascii="Times New Roman" w:hAnsi="Times New Roman"/>
        </w:rPr>
        <w:t xml:space="preserve"> operatīvā bilance par 2020.gadu</w:t>
      </w:r>
      <w:r w:rsidR="00FA507F">
        <w:rPr>
          <w:rFonts w:ascii="Times New Roman" w:hAnsi="Times New Roman"/>
        </w:rPr>
        <w:t>)</w:t>
      </w:r>
      <w:r w:rsidR="00FA507F" w:rsidRPr="00E104B9">
        <w:rPr>
          <w:rFonts w:ascii="Times New Roman" w:hAnsi="Times New Roman"/>
        </w:rPr>
        <w:t>;</w:t>
      </w:r>
    </w:p>
    <w:p w14:paraId="4827A393" w14:textId="1A501697"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lastRenderedPageBreak/>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D9799C">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324C" w14:textId="77777777" w:rsidR="002048D7" w:rsidRDefault="002048D7">
      <w:pPr>
        <w:spacing w:after="0" w:line="240" w:lineRule="auto"/>
      </w:pPr>
      <w:r>
        <w:separator/>
      </w:r>
    </w:p>
  </w:endnote>
  <w:endnote w:type="continuationSeparator" w:id="0">
    <w:p w14:paraId="558632D9" w14:textId="77777777" w:rsidR="002048D7" w:rsidRDefault="0020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2048D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0C8F2453" w:rsidR="00C130DF" w:rsidRDefault="006D100E">
    <w:pPr>
      <w:pStyle w:val="Kjene"/>
      <w:jc w:val="right"/>
    </w:pPr>
    <w:r>
      <w:fldChar w:fldCharType="begin"/>
    </w:r>
    <w:r>
      <w:instrText xml:space="preserve"> PAGE   \* MERGEFORMAT </w:instrText>
    </w:r>
    <w:r>
      <w:fldChar w:fldCharType="separate"/>
    </w:r>
    <w:r w:rsidR="00544F5A">
      <w:rPr>
        <w:noProof/>
      </w:rPr>
      <w:t>1</w:t>
    </w:r>
    <w:r>
      <w:fldChar w:fldCharType="end"/>
    </w:r>
  </w:p>
  <w:p w14:paraId="55E9D2CC" w14:textId="77777777" w:rsidR="00C130DF" w:rsidRDefault="002048D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2048D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A4C7" w14:textId="77777777" w:rsidR="002048D7" w:rsidRDefault="002048D7">
      <w:pPr>
        <w:spacing w:after="0" w:line="240" w:lineRule="auto"/>
      </w:pPr>
      <w:r>
        <w:separator/>
      </w:r>
    </w:p>
  </w:footnote>
  <w:footnote w:type="continuationSeparator" w:id="0">
    <w:p w14:paraId="3AA024CB" w14:textId="77777777" w:rsidR="002048D7" w:rsidRDefault="0020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2048D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2048D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2048D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09F1A0A"/>
    <w:multiLevelType w:val="hybridMultilevel"/>
    <w:tmpl w:val="6C1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6"/>
  </w:num>
  <w:num w:numId="6">
    <w:abstractNumId w:val="5"/>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55BB3"/>
    <w:rsid w:val="00070A10"/>
    <w:rsid w:val="00076011"/>
    <w:rsid w:val="00077DBA"/>
    <w:rsid w:val="000B6BBC"/>
    <w:rsid w:val="000C5493"/>
    <w:rsid w:val="000E1AE2"/>
    <w:rsid w:val="000E4EE0"/>
    <w:rsid w:val="00112019"/>
    <w:rsid w:val="00137D59"/>
    <w:rsid w:val="00146B9B"/>
    <w:rsid w:val="00192F12"/>
    <w:rsid w:val="00196F0A"/>
    <w:rsid w:val="001A5784"/>
    <w:rsid w:val="001A71BF"/>
    <w:rsid w:val="001C31FB"/>
    <w:rsid w:val="001D2840"/>
    <w:rsid w:val="001D7F71"/>
    <w:rsid w:val="001F15D3"/>
    <w:rsid w:val="002048D7"/>
    <w:rsid w:val="00212956"/>
    <w:rsid w:val="002130DA"/>
    <w:rsid w:val="00217419"/>
    <w:rsid w:val="00227903"/>
    <w:rsid w:val="00241CF7"/>
    <w:rsid w:val="00244728"/>
    <w:rsid w:val="00291277"/>
    <w:rsid w:val="002B049C"/>
    <w:rsid w:val="002B733D"/>
    <w:rsid w:val="002C09F0"/>
    <w:rsid w:val="002E7663"/>
    <w:rsid w:val="002F17D0"/>
    <w:rsid w:val="00300F74"/>
    <w:rsid w:val="0033036A"/>
    <w:rsid w:val="003329B5"/>
    <w:rsid w:val="00337647"/>
    <w:rsid w:val="00344211"/>
    <w:rsid w:val="00345FFE"/>
    <w:rsid w:val="003522A3"/>
    <w:rsid w:val="00355E34"/>
    <w:rsid w:val="0036444E"/>
    <w:rsid w:val="003723A8"/>
    <w:rsid w:val="003C34C1"/>
    <w:rsid w:val="003E6983"/>
    <w:rsid w:val="0041669F"/>
    <w:rsid w:val="004553D7"/>
    <w:rsid w:val="00457CF1"/>
    <w:rsid w:val="0048232D"/>
    <w:rsid w:val="00490BF8"/>
    <w:rsid w:val="004A148F"/>
    <w:rsid w:val="004E408E"/>
    <w:rsid w:val="004E6618"/>
    <w:rsid w:val="004F77E0"/>
    <w:rsid w:val="005042E3"/>
    <w:rsid w:val="0051321A"/>
    <w:rsid w:val="005321AA"/>
    <w:rsid w:val="00544F5A"/>
    <w:rsid w:val="005463BB"/>
    <w:rsid w:val="00547AD8"/>
    <w:rsid w:val="0055617C"/>
    <w:rsid w:val="00570ACB"/>
    <w:rsid w:val="00587D2F"/>
    <w:rsid w:val="00594FCB"/>
    <w:rsid w:val="00597002"/>
    <w:rsid w:val="005B018C"/>
    <w:rsid w:val="005C0071"/>
    <w:rsid w:val="005D1FFA"/>
    <w:rsid w:val="005E0C16"/>
    <w:rsid w:val="00602325"/>
    <w:rsid w:val="0061523F"/>
    <w:rsid w:val="006177FC"/>
    <w:rsid w:val="00630836"/>
    <w:rsid w:val="0067663C"/>
    <w:rsid w:val="00693312"/>
    <w:rsid w:val="006D100E"/>
    <w:rsid w:val="006E18C0"/>
    <w:rsid w:val="00702C0E"/>
    <w:rsid w:val="007214AD"/>
    <w:rsid w:val="00726A35"/>
    <w:rsid w:val="00767549"/>
    <w:rsid w:val="00770BBB"/>
    <w:rsid w:val="00782A47"/>
    <w:rsid w:val="007A29E8"/>
    <w:rsid w:val="007C5237"/>
    <w:rsid w:val="007D4D88"/>
    <w:rsid w:val="007E75B5"/>
    <w:rsid w:val="007E78FF"/>
    <w:rsid w:val="00803980"/>
    <w:rsid w:val="00810F53"/>
    <w:rsid w:val="008173D1"/>
    <w:rsid w:val="008252C1"/>
    <w:rsid w:val="00826C19"/>
    <w:rsid w:val="00886E67"/>
    <w:rsid w:val="008D2529"/>
    <w:rsid w:val="008E3C01"/>
    <w:rsid w:val="008E457C"/>
    <w:rsid w:val="008F589A"/>
    <w:rsid w:val="009056FD"/>
    <w:rsid w:val="00912E87"/>
    <w:rsid w:val="0091492C"/>
    <w:rsid w:val="00914BBF"/>
    <w:rsid w:val="00927C68"/>
    <w:rsid w:val="009507FD"/>
    <w:rsid w:val="00952AE0"/>
    <w:rsid w:val="00955281"/>
    <w:rsid w:val="009656C1"/>
    <w:rsid w:val="009A4105"/>
    <w:rsid w:val="009E644D"/>
    <w:rsid w:val="009F4DB1"/>
    <w:rsid w:val="00A07AEF"/>
    <w:rsid w:val="00A333A7"/>
    <w:rsid w:val="00A53583"/>
    <w:rsid w:val="00A5563B"/>
    <w:rsid w:val="00A56A8F"/>
    <w:rsid w:val="00A6650B"/>
    <w:rsid w:val="00A66AA0"/>
    <w:rsid w:val="00A97181"/>
    <w:rsid w:val="00AD08A7"/>
    <w:rsid w:val="00AD557D"/>
    <w:rsid w:val="00AE6A9F"/>
    <w:rsid w:val="00B4268C"/>
    <w:rsid w:val="00B877E1"/>
    <w:rsid w:val="00B93A2C"/>
    <w:rsid w:val="00BA5B23"/>
    <w:rsid w:val="00BC6867"/>
    <w:rsid w:val="00C06587"/>
    <w:rsid w:val="00C16BE5"/>
    <w:rsid w:val="00C33AD7"/>
    <w:rsid w:val="00C5373D"/>
    <w:rsid w:val="00C8579D"/>
    <w:rsid w:val="00C940B8"/>
    <w:rsid w:val="00C94482"/>
    <w:rsid w:val="00CC68E7"/>
    <w:rsid w:val="00CE03CE"/>
    <w:rsid w:val="00CF0F4C"/>
    <w:rsid w:val="00D00604"/>
    <w:rsid w:val="00D00B6C"/>
    <w:rsid w:val="00D17D6C"/>
    <w:rsid w:val="00D23BA4"/>
    <w:rsid w:val="00D261FC"/>
    <w:rsid w:val="00D33A1E"/>
    <w:rsid w:val="00D56C02"/>
    <w:rsid w:val="00D577EA"/>
    <w:rsid w:val="00D63BBC"/>
    <w:rsid w:val="00D90539"/>
    <w:rsid w:val="00D95A93"/>
    <w:rsid w:val="00D9799C"/>
    <w:rsid w:val="00DB394F"/>
    <w:rsid w:val="00DD6624"/>
    <w:rsid w:val="00DD7783"/>
    <w:rsid w:val="00DF146C"/>
    <w:rsid w:val="00E104B9"/>
    <w:rsid w:val="00E253F4"/>
    <w:rsid w:val="00E41D92"/>
    <w:rsid w:val="00E532DB"/>
    <w:rsid w:val="00E72D62"/>
    <w:rsid w:val="00EA43CC"/>
    <w:rsid w:val="00EA4E3F"/>
    <w:rsid w:val="00EB503B"/>
    <w:rsid w:val="00EC5A0D"/>
    <w:rsid w:val="00EC7637"/>
    <w:rsid w:val="00ED1062"/>
    <w:rsid w:val="00EF5233"/>
    <w:rsid w:val="00EF6076"/>
    <w:rsid w:val="00F61224"/>
    <w:rsid w:val="00F83193"/>
    <w:rsid w:val="00FA507F"/>
    <w:rsid w:val="00FC1C00"/>
    <w:rsid w:val="00FE10A1"/>
    <w:rsid w:val="00FF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 w:id="21127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B639-F2B3-4762-84EC-4DE8D961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17561</Words>
  <Characters>10011</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2021-05-18T10:49:00Z</cp:lastPrinted>
  <dcterms:created xsi:type="dcterms:W3CDTF">2021-06-08T07:10:00Z</dcterms:created>
  <dcterms:modified xsi:type="dcterms:W3CDTF">2021-06-08T07:10:00Z</dcterms:modified>
</cp:coreProperties>
</file>