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36" w:rsidRDefault="000C7936" w:rsidP="000C7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Paskaidrojuma raksts</w:t>
      </w:r>
    </w:p>
    <w:p w:rsidR="000C7936" w:rsidRDefault="000C7936" w:rsidP="000C7936">
      <w:pPr>
        <w:jc w:val="center"/>
        <w:rPr>
          <w:sz w:val="28"/>
          <w:szCs w:val="28"/>
        </w:rPr>
      </w:pPr>
      <w:r w:rsidRPr="00C50A0E">
        <w:rPr>
          <w:sz w:val="28"/>
          <w:szCs w:val="28"/>
        </w:rPr>
        <w:t>Madonas novada pašvaldības 20</w:t>
      </w:r>
      <w:r w:rsidR="00D6320A">
        <w:rPr>
          <w:sz w:val="28"/>
          <w:szCs w:val="28"/>
        </w:rPr>
        <w:t>20</w:t>
      </w:r>
      <w:r w:rsidRPr="00C50A0E">
        <w:rPr>
          <w:sz w:val="28"/>
          <w:szCs w:val="28"/>
        </w:rPr>
        <w:t>.gada budžetam</w:t>
      </w:r>
    </w:p>
    <w:p w:rsidR="000C7936" w:rsidRDefault="000C7936" w:rsidP="000C7936">
      <w:pPr>
        <w:jc w:val="center"/>
        <w:rPr>
          <w:sz w:val="28"/>
          <w:szCs w:val="28"/>
        </w:rPr>
      </w:pPr>
    </w:p>
    <w:p w:rsidR="000C7936" w:rsidRPr="00C50A0E" w:rsidRDefault="000C7936" w:rsidP="000C7936">
      <w:pPr>
        <w:jc w:val="center"/>
        <w:rPr>
          <w:sz w:val="28"/>
          <w:szCs w:val="28"/>
        </w:rPr>
      </w:pPr>
    </w:p>
    <w:p w:rsidR="000C7936" w:rsidRDefault="000C7936" w:rsidP="000C7936">
      <w:pPr>
        <w:rPr>
          <w:b/>
          <w:sz w:val="28"/>
          <w:szCs w:val="28"/>
        </w:rPr>
      </w:pPr>
    </w:p>
    <w:p w:rsidR="000C7936" w:rsidRDefault="000C7936" w:rsidP="007D5A91">
      <w:pPr>
        <w:jc w:val="both"/>
      </w:pPr>
      <w:r>
        <w:rPr>
          <w:b/>
          <w:sz w:val="28"/>
          <w:szCs w:val="28"/>
        </w:rPr>
        <w:tab/>
      </w:r>
      <w:r w:rsidRPr="00A2705D">
        <w:t>Madonas novada pašvaldības budžets izstrādāts saskaņā ar spēkā esošo likumdošanu  par budžetu un finanšu  vadību, likumu “Par pašvaldību budžetiem”, likumu “Par pašvaldībām”, MK noteikumiem, kas izdoti saskaņā ar šiem likumiem.</w:t>
      </w:r>
      <w:bookmarkStart w:id="0" w:name="_GoBack"/>
      <w:bookmarkEnd w:id="0"/>
    </w:p>
    <w:p w:rsidR="00D6320A" w:rsidRPr="00A2705D" w:rsidRDefault="00D6320A" w:rsidP="00D6320A">
      <w:pPr>
        <w:ind w:firstLine="709"/>
        <w:jc w:val="both"/>
      </w:pPr>
      <w:r>
        <w:t xml:space="preserve">Saskaņā ar likumu “Par pašvaldību budžetiem” pašvaldības budžets sastāv pamatbudžeta </w:t>
      </w:r>
      <w:r w:rsidRPr="005A5E5A">
        <w:t>un ziedojumiem</w:t>
      </w:r>
      <w:r>
        <w:t>.</w:t>
      </w:r>
    </w:p>
    <w:p w:rsidR="000C7936" w:rsidRDefault="000C7936" w:rsidP="00D6320A">
      <w:pPr>
        <w:jc w:val="both"/>
        <w:rPr>
          <w:b/>
          <w:sz w:val="28"/>
          <w:szCs w:val="28"/>
        </w:rPr>
      </w:pPr>
      <w:r w:rsidRPr="00A2705D">
        <w:tab/>
      </w:r>
    </w:p>
    <w:p w:rsidR="000C7936" w:rsidRDefault="000C7936" w:rsidP="000C7936">
      <w:pPr>
        <w:rPr>
          <w:b/>
          <w:sz w:val="28"/>
          <w:szCs w:val="28"/>
        </w:rPr>
      </w:pPr>
    </w:p>
    <w:p w:rsidR="000C7936" w:rsidRDefault="000C7936" w:rsidP="000C7936">
      <w:pPr>
        <w:rPr>
          <w:b/>
          <w:sz w:val="28"/>
          <w:szCs w:val="28"/>
        </w:rPr>
      </w:pPr>
      <w:r w:rsidRPr="00B72F81">
        <w:rPr>
          <w:b/>
          <w:sz w:val="28"/>
          <w:szCs w:val="28"/>
        </w:rPr>
        <w:t>Pamatbudžets</w:t>
      </w:r>
    </w:p>
    <w:p w:rsidR="000C7936" w:rsidRDefault="000C7936" w:rsidP="000C7936">
      <w:pPr>
        <w:rPr>
          <w:b/>
          <w:sz w:val="28"/>
          <w:szCs w:val="28"/>
        </w:rPr>
      </w:pPr>
    </w:p>
    <w:p w:rsidR="000C7936" w:rsidRPr="008A1E9D" w:rsidRDefault="000C7936" w:rsidP="007D5A91">
      <w:pPr>
        <w:ind w:firstLine="720"/>
        <w:jc w:val="both"/>
      </w:pPr>
      <w:r w:rsidRPr="0032530A">
        <w:t xml:space="preserve">Novada </w:t>
      </w:r>
      <w:r w:rsidRPr="005A5E5A">
        <w:t>pamatbudžets</w:t>
      </w:r>
      <w:r>
        <w:t xml:space="preserve"> 20</w:t>
      </w:r>
      <w:r w:rsidR="00D6320A">
        <w:t>20</w:t>
      </w:r>
      <w:r>
        <w:t>.gadam</w:t>
      </w:r>
      <w:r w:rsidRPr="0032530A">
        <w:t xml:space="preserve"> ieņēmumos </w:t>
      </w:r>
      <w:r>
        <w:t>un izdevumos apstiprināts</w:t>
      </w:r>
      <w:r w:rsidRPr="0032530A">
        <w:t xml:space="preserve"> </w:t>
      </w:r>
      <w:r>
        <w:t>EUR</w:t>
      </w:r>
      <w:r w:rsidRPr="0032530A">
        <w:t xml:space="preserve"> </w:t>
      </w:r>
      <w:r w:rsidR="00D6320A">
        <w:t>26068025</w:t>
      </w:r>
      <w:r>
        <w:t>.</w:t>
      </w:r>
      <w:r w:rsidRPr="009E7B18">
        <w:t xml:space="preserve"> </w:t>
      </w:r>
      <w:r>
        <w:t>Salīdzinot ar 201</w:t>
      </w:r>
      <w:r w:rsidR="00D6320A">
        <w:t>9</w:t>
      </w:r>
      <w:r>
        <w:t xml:space="preserve">.gada sākumu,  pieaugums </w:t>
      </w:r>
      <w:r w:rsidR="007D5A91">
        <w:t xml:space="preserve">EUR </w:t>
      </w:r>
      <w:r w:rsidR="00D6320A">
        <w:t>1798808</w:t>
      </w:r>
      <w:r>
        <w:t xml:space="preserve">. Naudas līdzekļu un noguldījumu atlikums gada sākumā EUR </w:t>
      </w:r>
      <w:r w:rsidR="005A5E5A">
        <w:t>5878244</w:t>
      </w:r>
      <w:r>
        <w:t>, palielinājums salīdzinot ar 201</w:t>
      </w:r>
      <w:r w:rsidR="00D6320A">
        <w:t>9</w:t>
      </w:r>
      <w:r>
        <w:t>.gada sākumu</w:t>
      </w:r>
      <w:r w:rsidR="007D5A91">
        <w:t xml:space="preserve"> EUR</w:t>
      </w:r>
      <w:r>
        <w:t xml:space="preserve"> </w:t>
      </w:r>
      <w:r w:rsidR="005A5E5A">
        <w:t>2402129</w:t>
      </w:r>
      <w:r>
        <w:t xml:space="preserve">.  </w:t>
      </w:r>
    </w:p>
    <w:p w:rsidR="000C7936" w:rsidRDefault="000C7936" w:rsidP="007D5A91">
      <w:pPr>
        <w:ind w:firstLine="720"/>
        <w:jc w:val="both"/>
      </w:pPr>
      <w:r w:rsidRPr="00765C14">
        <w:t>Budžeta veidošanas principi ir palikuši tādi paši kā  iepriekšējā gadā – no budžeta tiek finansēta iestāde</w:t>
      </w:r>
      <w:r>
        <w:t xml:space="preserve">, aktivitāte, projekts. Katrai iestādei, atbilstoši </w:t>
      </w:r>
      <w:r w:rsidRPr="00765C14">
        <w:t>apstiprināt</w:t>
      </w:r>
      <w:r>
        <w:t>ajam</w:t>
      </w:r>
      <w:r w:rsidRPr="00765C14">
        <w:t xml:space="preserve"> </w:t>
      </w:r>
      <w:r>
        <w:t>amatu vienību sarakstam</w:t>
      </w:r>
      <w:r w:rsidRPr="00765C14">
        <w:t>,</w:t>
      </w:r>
      <w:r>
        <w:t xml:space="preserve"> aprēķināts</w:t>
      </w:r>
      <w:r w:rsidRPr="00765C14">
        <w:t xml:space="preserve"> darba algas fonds, paredzēti līdzekļi izdevumu segšanai par apkuri, elektrību, ūdeni un kanalizāciju, skolēnu pārvadājumiem, degvielas iegādei, produktu iegādei skolēnu </w:t>
      </w:r>
      <w:r>
        <w:t xml:space="preserve">un PII audzēkņu </w:t>
      </w:r>
      <w:r w:rsidRPr="00765C14">
        <w:t>ēdināšanai</w:t>
      </w:r>
      <w:r w:rsidR="00D6320A">
        <w:t>, 1.-4.klašu skolēnu ēdināšanai</w:t>
      </w:r>
      <w:r w:rsidR="00463194">
        <w:t>, atkritumu izvešanai un utilizēšanai</w:t>
      </w:r>
      <w:r w:rsidRPr="00765C14">
        <w:t xml:space="preserve">. </w:t>
      </w:r>
    </w:p>
    <w:p w:rsidR="000C7936" w:rsidRDefault="000C7936" w:rsidP="007D5A91">
      <w:pPr>
        <w:ind w:firstLine="720"/>
        <w:jc w:val="both"/>
      </w:pPr>
      <w:r>
        <w:t>Plānots</w:t>
      </w:r>
      <w:r w:rsidRPr="00765C14">
        <w:t xml:space="preserve"> trūkstošais finansējums pedagogu atalgojumiem  gan mūzikas, mākslas skolu, Bērnu un jaunatnes sporta skolas, Bērnu un jauniešu centra pedagogu atalgojumiem, gan vispārizglītojošo skolu pedagogiem ko nav piešķīrusi valsts, kopā 8 mēnešiem EUR </w:t>
      </w:r>
      <w:r w:rsidR="00240440">
        <w:t>1105455</w:t>
      </w:r>
      <w:r w:rsidR="007D5A91">
        <w:t>.</w:t>
      </w:r>
    </w:p>
    <w:p w:rsidR="000C7936" w:rsidRPr="00544EB6" w:rsidRDefault="000C7936" w:rsidP="007D5A91">
      <w:pPr>
        <w:ind w:firstLine="720"/>
        <w:jc w:val="both"/>
      </w:pPr>
      <w:r w:rsidRPr="00765C14">
        <w:t xml:space="preserve"> Visiem skolēniem no 1. līdz 12.klasei paredzētas brīvpusdienas (0.71 EUR dienā 5.-12. klašu skolēniem no pašvaldības budžeta</w:t>
      </w:r>
      <w:r>
        <w:t xml:space="preserve"> produktu iegādei, </w:t>
      </w:r>
      <w:r w:rsidR="007D5A91">
        <w:t xml:space="preserve">pirmajiem </w:t>
      </w:r>
      <w:r w:rsidR="00240440">
        <w:t>pieciem</w:t>
      </w:r>
      <w:r w:rsidR="007D5A91">
        <w:t xml:space="preserve"> mēnešiem</w:t>
      </w:r>
      <w:r>
        <w:t xml:space="preserve"> </w:t>
      </w:r>
      <w:r w:rsidRPr="00765C14">
        <w:t xml:space="preserve"> EUR </w:t>
      </w:r>
      <w:r w:rsidR="00240440">
        <w:t>91797</w:t>
      </w:r>
      <w:r>
        <w:rPr>
          <w:b/>
        </w:rPr>
        <w:t xml:space="preserve">, </w:t>
      </w:r>
      <w:r w:rsidRPr="00544EB6">
        <w:t xml:space="preserve">1.-4.klašu skolēnu </w:t>
      </w:r>
      <w:r>
        <w:t xml:space="preserve">ēdināšanai </w:t>
      </w:r>
      <w:r w:rsidR="00240440">
        <w:t>pusi</w:t>
      </w:r>
      <w:r w:rsidRPr="00544EB6">
        <w:t xml:space="preserve"> finansējum</w:t>
      </w:r>
      <w:r w:rsidR="00240440">
        <w:t>a</w:t>
      </w:r>
      <w:r w:rsidRPr="00544EB6">
        <w:t xml:space="preserve"> </w:t>
      </w:r>
      <w:r w:rsidR="00240440">
        <w:t>piešķir</w:t>
      </w:r>
      <w:r w:rsidRPr="00544EB6">
        <w:t xml:space="preserve"> valsts</w:t>
      </w:r>
      <w:r>
        <w:t xml:space="preserve"> </w:t>
      </w:r>
      <w:r w:rsidR="00240440">
        <w:t xml:space="preserve">EUR 51869 un pusi pašvaldība </w:t>
      </w:r>
      <w:r w:rsidR="00240440">
        <w:t>EUR 51869</w:t>
      </w:r>
      <w:r w:rsidR="00240440">
        <w:t xml:space="preserve"> </w:t>
      </w:r>
      <w:r w:rsidR="007D5A91">
        <w:t>)</w:t>
      </w:r>
      <w:r>
        <w:t>.</w:t>
      </w:r>
    </w:p>
    <w:p w:rsidR="000C7936" w:rsidRDefault="000C7936" w:rsidP="007D5A91">
      <w:pPr>
        <w:ind w:firstLine="720"/>
        <w:jc w:val="both"/>
      </w:pPr>
      <w:r>
        <w:t>Plānots</w:t>
      </w:r>
      <w:r w:rsidRPr="00765C14">
        <w:t xml:space="preserve"> finansējums  pašvaldības pirmsskolas izglītības iestāžu audzēkņu ēdināšana</w:t>
      </w:r>
      <w:r>
        <w:t>i produktu iegādei</w:t>
      </w:r>
      <w:r w:rsidRPr="00765C14">
        <w:t xml:space="preserve"> EUR 0.57 par vienu apmeklējuma dienu</w:t>
      </w:r>
      <w:r>
        <w:t xml:space="preserve"> no pašvaldības budžeta un</w:t>
      </w:r>
      <w:r w:rsidR="007D5A91">
        <w:t xml:space="preserve"> </w:t>
      </w:r>
      <w:r w:rsidR="007D5A91" w:rsidRPr="00765C14">
        <w:t>EUR</w:t>
      </w:r>
      <w:r>
        <w:t xml:space="preserve"> 0.75 no vecāku iemaksām</w:t>
      </w:r>
      <w:r w:rsidRPr="00765C14">
        <w:t xml:space="preserve">, </w:t>
      </w:r>
      <w:r w:rsidR="00240440">
        <w:t>pirmajiem 8 mēnešiem</w:t>
      </w:r>
      <w:r w:rsidRPr="00765C14">
        <w:t xml:space="preserve"> PII audzēkņu ēdināšanai paredzēti</w:t>
      </w:r>
      <w:r w:rsidR="007D5A91">
        <w:t xml:space="preserve"> </w:t>
      </w:r>
      <w:r w:rsidR="007D5A91" w:rsidRPr="00765C14">
        <w:t>EUR</w:t>
      </w:r>
      <w:r w:rsidRPr="00765C14">
        <w:t xml:space="preserve"> </w:t>
      </w:r>
      <w:r w:rsidR="00240440">
        <w:t>196882</w:t>
      </w:r>
      <w:r w:rsidR="007D5A91">
        <w:t>.</w:t>
      </w:r>
      <w:r w:rsidRPr="00765C14">
        <w:t xml:space="preserve"> </w:t>
      </w:r>
    </w:p>
    <w:p w:rsidR="000C7936" w:rsidRDefault="000C7936" w:rsidP="007D5A91">
      <w:pPr>
        <w:ind w:firstLine="720"/>
        <w:jc w:val="both"/>
      </w:pPr>
      <w:r w:rsidRPr="00765C14">
        <w:t>Paredzēts apmaksāt skolēnu bra</w:t>
      </w:r>
      <w:r>
        <w:t>ucienus uz izglītības iestādēm.</w:t>
      </w:r>
    </w:p>
    <w:p w:rsidR="000C7936" w:rsidRDefault="000C7936" w:rsidP="007D5A91">
      <w:pPr>
        <w:ind w:firstLine="720"/>
        <w:jc w:val="both"/>
      </w:pPr>
      <w:r>
        <w:t>Tradicionāli kopš novada izveidošanas konkrētu pagastu teritoriju ienākumus, kas iegūti, pārdodot nekustamos īpašumus, mežus u.c., atgriežam šajā teritorijā.</w:t>
      </w:r>
    </w:p>
    <w:p w:rsidR="000C7936" w:rsidRDefault="000C7936" w:rsidP="007D5A91">
      <w:pPr>
        <w:ind w:firstLine="720"/>
        <w:jc w:val="both"/>
      </w:pPr>
    </w:p>
    <w:p w:rsidR="000C7936" w:rsidRDefault="000C7936" w:rsidP="000C7936"/>
    <w:p w:rsidR="000C7936" w:rsidRDefault="000C7936" w:rsidP="000C7936">
      <w:r w:rsidRPr="00B72F81">
        <w:rPr>
          <w:b/>
          <w:sz w:val="26"/>
          <w:szCs w:val="26"/>
        </w:rPr>
        <w:t>Ieņēmumi</w:t>
      </w:r>
    </w:p>
    <w:p w:rsidR="000C7936" w:rsidRDefault="000C7936" w:rsidP="000C7936"/>
    <w:p w:rsidR="000C7936" w:rsidRDefault="000C7936" w:rsidP="00A15FC0">
      <w:pPr>
        <w:jc w:val="both"/>
      </w:pPr>
      <w:r>
        <w:tab/>
        <w:t xml:space="preserve">Pašvaldības pamatbudžeta ieņēmumus veido </w:t>
      </w:r>
      <w:r w:rsidRPr="000067DB">
        <w:rPr>
          <w:i/>
        </w:rPr>
        <w:t>nodokļu ieņēmumi</w:t>
      </w:r>
      <w:r>
        <w:t xml:space="preserve">  - iedzīvotāju ienākuma nodoklis, nekustamā īpašuma nodoklis, azartspēļu </w:t>
      </w:r>
      <w:r>
        <w:lastRenderedPageBreak/>
        <w:t xml:space="preserve">nodoklis; </w:t>
      </w:r>
      <w:proofErr w:type="spellStart"/>
      <w:r>
        <w:t>nenodokļu</w:t>
      </w:r>
      <w:proofErr w:type="spellEnd"/>
      <w:r>
        <w:t xml:space="preserve"> ieņēmumi – valsts un pašvaldību nodevas, naudas sodi un sankcijas, ieņēmumi no depozītiem un kontu atlikumiem un citi </w:t>
      </w:r>
      <w:proofErr w:type="spellStart"/>
      <w:r>
        <w:t>nenodokļu</w:t>
      </w:r>
      <w:proofErr w:type="spellEnd"/>
      <w:r>
        <w:t xml:space="preserve"> ieņēmumi; </w:t>
      </w:r>
      <w:proofErr w:type="spellStart"/>
      <w:r w:rsidRPr="000067DB">
        <w:rPr>
          <w:i/>
        </w:rPr>
        <w:t>transfertu</w:t>
      </w:r>
      <w:proofErr w:type="spellEnd"/>
      <w:r w:rsidRPr="000067DB">
        <w:rPr>
          <w:i/>
        </w:rPr>
        <w:t xml:space="preserve"> ieņēmumi</w:t>
      </w:r>
      <w:r>
        <w:t xml:space="preserve"> (maksājumi) no valsts un pašvaldību budžetiem un </w:t>
      </w:r>
      <w:r w:rsidRPr="000067DB">
        <w:rPr>
          <w:i/>
        </w:rPr>
        <w:t>budžeta iestāžu ieņēmumi</w:t>
      </w:r>
      <w:r>
        <w:t>.</w:t>
      </w:r>
    </w:p>
    <w:p w:rsidR="000C7936" w:rsidRDefault="000C7936" w:rsidP="00A15FC0">
      <w:pPr>
        <w:jc w:val="both"/>
      </w:pPr>
      <w:r>
        <w:tab/>
      </w:r>
    </w:p>
    <w:p w:rsidR="000C7936" w:rsidRDefault="000C7936" w:rsidP="00A15FC0">
      <w:pPr>
        <w:jc w:val="both"/>
        <w:outlineLvl w:val="0"/>
        <w:rPr>
          <w:i/>
        </w:rPr>
      </w:pPr>
      <w:r w:rsidRPr="000067DB">
        <w:rPr>
          <w:i/>
        </w:rPr>
        <w:t>Nodokļu ieņēmumi</w:t>
      </w:r>
    </w:p>
    <w:p w:rsidR="000C7936" w:rsidRDefault="000C7936" w:rsidP="00A15FC0">
      <w:pPr>
        <w:jc w:val="both"/>
        <w:rPr>
          <w:i/>
        </w:rPr>
      </w:pPr>
    </w:p>
    <w:p w:rsidR="000C7936" w:rsidRDefault="000C7936" w:rsidP="00A15FC0">
      <w:pPr>
        <w:ind w:firstLine="720"/>
        <w:jc w:val="both"/>
      </w:pPr>
      <w:r>
        <w:t xml:space="preserve">Ieņēmumi no nodokļiem plānoti  EUR </w:t>
      </w:r>
      <w:r w:rsidR="00240440">
        <w:t>12307897</w:t>
      </w:r>
      <w:r>
        <w:t xml:space="preserve">, jeb </w:t>
      </w:r>
      <w:r w:rsidR="00240440">
        <w:t>47,2</w:t>
      </w:r>
      <w:r>
        <w:t>% no ieņēmumu kopapjoma.</w:t>
      </w:r>
    </w:p>
    <w:p w:rsidR="000C7936" w:rsidRPr="000067DB" w:rsidRDefault="000C7936" w:rsidP="00A15FC0">
      <w:pPr>
        <w:ind w:firstLine="720"/>
        <w:jc w:val="both"/>
      </w:pPr>
      <w:r>
        <w:t xml:space="preserve">Ieņēmumi no iedzīvotāju ienākuma nodokļa plānoti EUR </w:t>
      </w:r>
      <w:r w:rsidR="00240440">
        <w:t>11054274</w:t>
      </w:r>
      <w:r>
        <w:t>. Salīdzinot ar pagājuš</w:t>
      </w:r>
      <w:r w:rsidR="007D5A91">
        <w:t>ā</w:t>
      </w:r>
      <w:r>
        <w:t xml:space="preserve"> gada sākumu, tas ir par </w:t>
      </w:r>
      <w:r w:rsidR="007D5A91">
        <w:t>EUR</w:t>
      </w:r>
      <w:r>
        <w:t xml:space="preserve"> </w:t>
      </w:r>
      <w:r w:rsidR="00240440">
        <w:t>176163</w:t>
      </w:r>
      <w:r>
        <w:t xml:space="preserve"> </w:t>
      </w:r>
      <w:r w:rsidR="007D5A91">
        <w:t>mazāk.</w:t>
      </w:r>
      <w:r>
        <w:t xml:space="preserve">  Plānotais iedzīvotāju ienākuma nodoklis ir  </w:t>
      </w:r>
      <w:r w:rsidR="00240440">
        <w:t>42,4</w:t>
      </w:r>
      <w:r>
        <w:t xml:space="preserve"> % no ieņēmumu kopapjoma.</w:t>
      </w:r>
    </w:p>
    <w:p w:rsidR="000C7936" w:rsidRDefault="000C7936" w:rsidP="00A15FC0">
      <w:pPr>
        <w:ind w:firstLine="720"/>
        <w:jc w:val="both"/>
      </w:pPr>
      <w:r>
        <w:t xml:space="preserve">Ieņēmumi no nekustamā īpašuma nodokļa plānoti EUR </w:t>
      </w:r>
      <w:r w:rsidR="00240440">
        <w:t>1235623</w:t>
      </w:r>
      <w:r>
        <w:t xml:space="preserve"> jeb par </w:t>
      </w:r>
      <w:r w:rsidR="007D5A91">
        <w:t>EUR</w:t>
      </w:r>
      <w:r>
        <w:t xml:space="preserve"> </w:t>
      </w:r>
      <w:r w:rsidR="00240440">
        <w:t>12835</w:t>
      </w:r>
      <w:r w:rsidR="007D5A91">
        <w:t xml:space="preserve"> vairāk </w:t>
      </w:r>
      <w:r>
        <w:t>kā 201</w:t>
      </w:r>
      <w:r w:rsidR="00240440">
        <w:t>9</w:t>
      </w:r>
      <w:r>
        <w:t>.gada sākotnējais plāns.</w:t>
      </w:r>
    </w:p>
    <w:p w:rsidR="000C7936" w:rsidRPr="000067DB" w:rsidRDefault="000C7936" w:rsidP="00A15FC0">
      <w:pPr>
        <w:ind w:firstLine="720"/>
        <w:jc w:val="both"/>
      </w:pPr>
      <w:r>
        <w:t xml:space="preserve"> Ieņēmumi no azartspēļu  nodokļa plānoti  EUR </w:t>
      </w:r>
      <w:r w:rsidR="00486DDA">
        <w:t>18</w:t>
      </w:r>
      <w:r w:rsidR="007D5A91">
        <w:t>00</w:t>
      </w:r>
      <w:r>
        <w:t>0</w:t>
      </w:r>
      <w:r w:rsidR="007D5A91">
        <w:t xml:space="preserve"> jeb par EUR </w:t>
      </w:r>
      <w:r w:rsidR="00486DDA">
        <w:t>53000</w:t>
      </w:r>
      <w:r w:rsidR="007D5A91">
        <w:t xml:space="preserve"> </w:t>
      </w:r>
      <w:r w:rsidR="00486DDA">
        <w:t>mazāk</w:t>
      </w:r>
      <w:r w:rsidR="007D5A91">
        <w:t xml:space="preserve"> nekā 201</w:t>
      </w:r>
      <w:r w:rsidR="00486DDA">
        <w:t>9</w:t>
      </w:r>
      <w:r w:rsidR="007D5A91">
        <w:t>.gada sākumā</w:t>
      </w:r>
      <w:r>
        <w:t>.</w:t>
      </w:r>
      <w:r w:rsidR="00486DDA">
        <w:t xml:space="preserve"> Tas saistīts ar to, ka iepriekšējos gados pašvaldība saņēma 25% no iekasētā azartspēļu nodokļa, bet ar 2020.gadu pašvaldība saņem tikai 5% no iekasētās summas.</w:t>
      </w:r>
    </w:p>
    <w:p w:rsidR="000C7936" w:rsidRDefault="000C7936" w:rsidP="00A15FC0">
      <w:pPr>
        <w:jc w:val="both"/>
      </w:pPr>
    </w:p>
    <w:p w:rsidR="000C7936" w:rsidRDefault="000C7936" w:rsidP="00A15FC0">
      <w:pPr>
        <w:jc w:val="both"/>
        <w:outlineLvl w:val="0"/>
        <w:rPr>
          <w:i/>
        </w:rPr>
      </w:pPr>
      <w:proofErr w:type="spellStart"/>
      <w:r w:rsidRPr="002A0188">
        <w:rPr>
          <w:i/>
        </w:rPr>
        <w:t>Nenodokļu</w:t>
      </w:r>
      <w:proofErr w:type="spellEnd"/>
      <w:r w:rsidRPr="002A0188">
        <w:rPr>
          <w:i/>
        </w:rPr>
        <w:t xml:space="preserve"> ieņēmumi</w:t>
      </w:r>
    </w:p>
    <w:p w:rsidR="000C7936" w:rsidRDefault="000C7936" w:rsidP="00A15FC0">
      <w:pPr>
        <w:jc w:val="both"/>
        <w:rPr>
          <w:i/>
        </w:rPr>
      </w:pPr>
    </w:p>
    <w:p w:rsidR="000C7936" w:rsidRDefault="000C7936" w:rsidP="00A15FC0">
      <w:pPr>
        <w:jc w:val="both"/>
      </w:pPr>
      <w:r>
        <w:tab/>
        <w:t>20</w:t>
      </w:r>
      <w:r w:rsidR="00486DDA">
        <w:t>20</w:t>
      </w:r>
      <w:r w:rsidR="00A15FC0">
        <w:t xml:space="preserve">.gada Madonas novada budžetā </w:t>
      </w:r>
      <w:proofErr w:type="spellStart"/>
      <w:r>
        <w:t>nenodokļu</w:t>
      </w:r>
      <w:proofErr w:type="spellEnd"/>
      <w:r>
        <w:t xml:space="preserve"> ieņēmumus plānots iekasēt  EUR </w:t>
      </w:r>
      <w:r w:rsidR="00486DDA">
        <w:t>44450</w:t>
      </w:r>
      <w:r>
        <w:t xml:space="preserve"> apmērā, tajā skaitā,  valsts un pašvaldību nodevas 20</w:t>
      </w:r>
      <w:r w:rsidR="00486DDA">
        <w:t>20</w:t>
      </w:r>
      <w:r>
        <w:t xml:space="preserve">.gadā plānots saņemt  EUR </w:t>
      </w:r>
      <w:r w:rsidR="00486DDA">
        <w:t>26389</w:t>
      </w:r>
      <w:r>
        <w:t xml:space="preserve">, naudas sodus  un sankcijas EUR </w:t>
      </w:r>
      <w:r w:rsidR="00486DDA">
        <w:t>30</w:t>
      </w:r>
      <w:r w:rsidR="00A15FC0">
        <w:t>00</w:t>
      </w:r>
      <w:r>
        <w:t xml:space="preserve">, pārējos  </w:t>
      </w:r>
      <w:proofErr w:type="spellStart"/>
      <w:r>
        <w:t>nenodokļu</w:t>
      </w:r>
      <w:proofErr w:type="spellEnd"/>
      <w:r>
        <w:t xml:space="preserve"> ieņēmum</w:t>
      </w:r>
      <w:r w:rsidR="00486DDA">
        <w:t>us</w:t>
      </w:r>
      <w:r>
        <w:t xml:space="preserve"> EUR </w:t>
      </w:r>
      <w:r w:rsidR="00486DDA">
        <w:t>12950</w:t>
      </w:r>
      <w:r>
        <w:t>.</w:t>
      </w:r>
    </w:p>
    <w:p w:rsidR="000C7936" w:rsidRDefault="000C7936" w:rsidP="00A15FC0">
      <w:pPr>
        <w:jc w:val="both"/>
      </w:pPr>
    </w:p>
    <w:p w:rsidR="000C7936" w:rsidRDefault="000C7936" w:rsidP="00A15FC0">
      <w:pPr>
        <w:jc w:val="both"/>
        <w:outlineLvl w:val="0"/>
        <w:rPr>
          <w:i/>
        </w:rPr>
      </w:pPr>
      <w:r w:rsidRPr="00EF18C5">
        <w:rPr>
          <w:i/>
        </w:rPr>
        <w:t>Budžeta iestāžu ieņēmumi</w:t>
      </w:r>
    </w:p>
    <w:p w:rsidR="000C7936" w:rsidRDefault="000C7936" w:rsidP="00A15FC0">
      <w:pPr>
        <w:jc w:val="both"/>
        <w:rPr>
          <w:i/>
        </w:rPr>
      </w:pPr>
    </w:p>
    <w:p w:rsidR="000C7936" w:rsidRDefault="000C7936" w:rsidP="00A15FC0">
      <w:pPr>
        <w:jc w:val="both"/>
      </w:pPr>
      <w:r>
        <w:tab/>
        <w:t>Budžeta iestāžu ieņēmumi ir ieņēmumi no sniegtajiem maksas pakalpojumiem, telpu nomas, maksas par komunālajiem pakalpojumiem un citi pašu ieņēmumi. Tie plānoti EUR</w:t>
      </w:r>
      <w:r w:rsidR="00A15FC0">
        <w:t xml:space="preserve"> </w:t>
      </w:r>
      <w:r w:rsidR="00486DDA">
        <w:t>1253393</w:t>
      </w:r>
      <w:r>
        <w:t xml:space="preserve"> apmērā, vai </w:t>
      </w:r>
      <w:r w:rsidR="00486DDA">
        <w:t>4,8</w:t>
      </w:r>
      <w:r>
        <w:t>% no ieņēmumu kopapjoma.</w:t>
      </w:r>
    </w:p>
    <w:p w:rsidR="000C7936" w:rsidRDefault="000C7936" w:rsidP="00A15FC0">
      <w:pPr>
        <w:jc w:val="both"/>
      </w:pPr>
    </w:p>
    <w:p w:rsidR="000C7936" w:rsidRPr="009C62E8" w:rsidRDefault="000C7936" w:rsidP="00A15FC0">
      <w:pPr>
        <w:jc w:val="both"/>
        <w:outlineLvl w:val="0"/>
        <w:rPr>
          <w:i/>
        </w:rPr>
      </w:pPr>
      <w:proofErr w:type="spellStart"/>
      <w:r w:rsidRPr="009C62E8">
        <w:rPr>
          <w:i/>
        </w:rPr>
        <w:t>Transfertu</w:t>
      </w:r>
      <w:proofErr w:type="spellEnd"/>
      <w:r w:rsidRPr="009C62E8">
        <w:rPr>
          <w:i/>
        </w:rPr>
        <w:t xml:space="preserve"> ieņēmumi</w:t>
      </w:r>
    </w:p>
    <w:p w:rsidR="000C7936" w:rsidRDefault="000C7936" w:rsidP="00A15FC0">
      <w:pPr>
        <w:jc w:val="both"/>
      </w:pPr>
    </w:p>
    <w:p w:rsidR="000C7936" w:rsidRDefault="000C7936" w:rsidP="00A15FC0">
      <w:pPr>
        <w:jc w:val="both"/>
      </w:pPr>
      <w:r>
        <w:tab/>
        <w:t>Pašvaldības ieņēmumu struktūrā  liels īpatsvars ir no valsts budžeta un citu pašvaldību budžetiem saņemtajiem maksājumiem (</w:t>
      </w:r>
      <w:proofErr w:type="spellStart"/>
      <w:r w:rsidRPr="00476998">
        <w:rPr>
          <w:i/>
        </w:rPr>
        <w:t>transfertu</w:t>
      </w:r>
      <w:proofErr w:type="spellEnd"/>
      <w:r w:rsidRPr="00476998">
        <w:rPr>
          <w:i/>
        </w:rPr>
        <w:t xml:space="preserve"> ieņēmumiem</w:t>
      </w:r>
      <w:r>
        <w:t xml:space="preserve">), tie plānoti EUR </w:t>
      </w:r>
      <w:r w:rsidR="00486DDA">
        <w:t>12462285</w:t>
      </w:r>
      <w:r>
        <w:t xml:space="preserve"> jeb </w:t>
      </w:r>
      <w:r w:rsidR="00486DDA">
        <w:t>47,8</w:t>
      </w:r>
      <w:r>
        <w:t xml:space="preserve">%  no  ieņēmumu kopapjoma. </w:t>
      </w:r>
    </w:p>
    <w:p w:rsidR="000C7936" w:rsidRPr="00765C14" w:rsidRDefault="000C7936" w:rsidP="00A15FC0">
      <w:pPr>
        <w:ind w:firstLine="720"/>
        <w:jc w:val="both"/>
      </w:pPr>
      <w:r w:rsidRPr="00765C14">
        <w:t>Lai radītu pašvaldībām līdzīgas iespējas ar likumu noteikto funkciju izpildei, ņemot vērā pašvaldību sociālekonomiskās atšķirības, notiek pašvaldību finanšu izlīdzināšana.</w:t>
      </w:r>
    </w:p>
    <w:p w:rsidR="000C7936" w:rsidRPr="00765C14" w:rsidRDefault="000C7936" w:rsidP="00A15FC0">
      <w:pPr>
        <w:ind w:firstLine="720"/>
        <w:jc w:val="both"/>
      </w:pPr>
      <w:r w:rsidRPr="00765C14">
        <w:t xml:space="preserve">Pašvaldību finanšu izlīdzināšanas sistēma paredz pašvaldību finanšu atšķirību daļēju izlīdzināšanu, lai veicinātu pašvaldību iniciatīvu un patstāvību savu finanšu resursu veidošanā un nodrošinātu pašvaldību finansiālās darbības aizsardzību.    </w:t>
      </w:r>
    </w:p>
    <w:p w:rsidR="000C7936" w:rsidRPr="00765C14" w:rsidRDefault="000C7936" w:rsidP="00A15FC0">
      <w:pPr>
        <w:ind w:firstLine="720"/>
        <w:jc w:val="both"/>
      </w:pPr>
      <w:r w:rsidRPr="00765C14">
        <w:t xml:space="preserve">Pašvaldību finanšu izlīdzināšanu veic ar izlīdzināšanas fonda starpniecību. </w:t>
      </w:r>
    </w:p>
    <w:p w:rsidR="000C7936" w:rsidRDefault="000C7936" w:rsidP="00A15FC0">
      <w:pPr>
        <w:ind w:firstLine="567"/>
        <w:jc w:val="both"/>
      </w:pPr>
      <w:r w:rsidRPr="00765C14">
        <w:t>Madonas novada pašvaldība  20</w:t>
      </w:r>
      <w:r w:rsidR="00486DDA">
        <w:t>20</w:t>
      </w:r>
      <w:r w:rsidRPr="00765C14">
        <w:t xml:space="preserve">.gadā saņems dotāciju no PFIF  EUR </w:t>
      </w:r>
      <w:r w:rsidR="00486DDA">
        <w:t>6740370</w:t>
      </w:r>
      <w:r w:rsidRPr="00765C14">
        <w:t xml:space="preserve">. </w:t>
      </w:r>
    </w:p>
    <w:p w:rsidR="000C7936" w:rsidRDefault="000C7936" w:rsidP="00A15FC0">
      <w:pPr>
        <w:ind w:firstLine="567"/>
        <w:jc w:val="both"/>
      </w:pPr>
      <w:r>
        <w:t xml:space="preserve">Valsts budžeta mērķdotācija  Dzelzavas internātpamatskolai  plānota </w:t>
      </w:r>
      <w:r>
        <w:lastRenderedPageBreak/>
        <w:t xml:space="preserve">EUR </w:t>
      </w:r>
      <w:r w:rsidR="00486DDA">
        <w:t>522355</w:t>
      </w:r>
      <w:r>
        <w:t xml:space="preserve">, pamatizglītības, vispārējās vidējās  izglītības, daļējai interešu izglītības programmu pedagogu darba samaksai un valsts sociālās apdrošināšanas obligātajām iemaksām  EUR </w:t>
      </w:r>
      <w:r w:rsidR="00A15FC0">
        <w:t>2</w:t>
      </w:r>
      <w:r w:rsidR="00486DDA">
        <w:t>322356</w:t>
      </w:r>
      <w:r>
        <w:t xml:space="preserve">,  mērķdotācija  bērnu no 5 gadu vecuma apmācībai EUR </w:t>
      </w:r>
      <w:r w:rsidR="00486DDA">
        <w:t>369296</w:t>
      </w:r>
      <w:r>
        <w:t xml:space="preserve">. Mērķdotācijas pedagogu darba samaksai un valsts sociālās apdrošināšanas obligātajām iemaksām, </w:t>
      </w:r>
      <w:r w:rsidRPr="00D27D9C">
        <w:t xml:space="preserve">saskaņā ar </w:t>
      </w:r>
      <w:r w:rsidR="00486DDA">
        <w:t>likuma “Par valsts budžetu”</w:t>
      </w:r>
      <w:r w:rsidRPr="00D27D9C">
        <w:t xml:space="preserve"> pielikumiem</w:t>
      </w:r>
      <w:r>
        <w:t xml:space="preserve"> ieplānotas laika periodam no 20</w:t>
      </w:r>
      <w:r w:rsidR="00486DDA">
        <w:t>20</w:t>
      </w:r>
      <w:r>
        <w:t>.gada 1.janvāra līdz 20</w:t>
      </w:r>
      <w:r w:rsidR="00486DDA">
        <w:t>20</w:t>
      </w:r>
      <w:r>
        <w:t>.gada 31.augustam.</w:t>
      </w:r>
    </w:p>
    <w:p w:rsidR="000C7936" w:rsidRPr="005D7FE4" w:rsidRDefault="000C7936" w:rsidP="00A15FC0">
      <w:pPr>
        <w:ind w:firstLine="720"/>
        <w:jc w:val="both"/>
      </w:pPr>
      <w:r>
        <w:t>Pašvaldība 20</w:t>
      </w:r>
      <w:r w:rsidR="00486DDA">
        <w:t>20</w:t>
      </w:r>
      <w:r>
        <w:t xml:space="preserve">.gadā  saņems mērķdotāciju asistentu pakalpojumiem EUR </w:t>
      </w:r>
      <w:r w:rsidR="00486DDA">
        <w:t>156000</w:t>
      </w:r>
      <w:r>
        <w:t>,</w:t>
      </w:r>
      <w:r w:rsidR="00486DDA">
        <w:t xml:space="preserve"> </w:t>
      </w:r>
      <w:r>
        <w:t xml:space="preserve">māksliniecisko kolektīvu darba samaksai un valsts sociālās apdrošināšanas obligātajām iemaksām EUR </w:t>
      </w:r>
      <w:r w:rsidR="00486DDA">
        <w:t>28981</w:t>
      </w:r>
      <w:r>
        <w:t xml:space="preserve">, mērķdotāciju literatūras/mācību līdzekļu iegādei EUR </w:t>
      </w:r>
      <w:r w:rsidR="00486DDA">
        <w:t>48934</w:t>
      </w:r>
      <w:r w:rsidRPr="005D7FE4">
        <w:t>.</w:t>
      </w:r>
      <w:r w:rsidR="00A15FC0">
        <w:t xml:space="preserve"> </w:t>
      </w:r>
    </w:p>
    <w:p w:rsidR="000C7936" w:rsidRDefault="000C7936" w:rsidP="00A15FC0">
      <w:pPr>
        <w:ind w:firstLine="720"/>
        <w:jc w:val="both"/>
      </w:pPr>
      <w:r>
        <w:t>Saskaņā ar  pašvaldības noslēgtajiem  līgumiem  ar Latvijas Nacionālo kultūras centru par profesionālās ievirzes mūzikas/mākslas/dejas izglītības programmu finansēšanu,  ministrija 20</w:t>
      </w:r>
      <w:r w:rsidR="00486DDA">
        <w:t>20</w:t>
      </w:r>
      <w:r>
        <w:t xml:space="preserve">.gadam piešķir  valsts budžeta pieejamo finansējumu  EUR </w:t>
      </w:r>
      <w:r w:rsidR="00486DDA">
        <w:t>51054</w:t>
      </w:r>
      <w:r>
        <w:t xml:space="preserve">  pedagogu darba samaksai un valsts sociālās apdrošināšanas obligātajām iemaksām mākslas programmai un   EUR </w:t>
      </w:r>
      <w:r w:rsidR="00486DDA">
        <w:t>322111</w:t>
      </w:r>
      <w:r>
        <w:t xml:space="preserve"> mūzikas programmai .</w:t>
      </w:r>
    </w:p>
    <w:p w:rsidR="000C7936" w:rsidRDefault="000C7936" w:rsidP="00A15FC0">
      <w:pPr>
        <w:ind w:firstLine="720"/>
        <w:jc w:val="both"/>
      </w:pPr>
      <w:r>
        <w:t xml:space="preserve">Saskaņā ar pašvaldības noslēgto līgumu ar Izglītības un zinātnes ministriju, ministrija piešķir pašvaldībai no valsts budžeta līdzekļus par kopējo summu EUR </w:t>
      </w:r>
      <w:r w:rsidR="00486DDA">
        <w:t>262918</w:t>
      </w:r>
      <w:r>
        <w:t xml:space="preserve"> lai nodrošinātu profesionālās ievirzes sporta izglītības programmu īstenošanu 20</w:t>
      </w:r>
      <w:r w:rsidR="00486DDA">
        <w:t>20</w:t>
      </w:r>
      <w:r>
        <w:t>.gadā.</w:t>
      </w:r>
    </w:p>
    <w:p w:rsidR="000C7936" w:rsidRDefault="000C7936" w:rsidP="00A15FC0">
      <w:pPr>
        <w:ind w:firstLine="720"/>
        <w:jc w:val="both"/>
      </w:pPr>
      <w:r>
        <w:t xml:space="preserve">Ieņēmumi pašvaldības budžetā no citām pašvaldībām izglītības funkciju nodrošināšanai plānoti EUR </w:t>
      </w:r>
      <w:r w:rsidR="00A15FC0">
        <w:t>400000</w:t>
      </w:r>
      <w:r w:rsidR="00486DDA">
        <w:t>, par sniegtajiem sociālās palīdzības iestāžu pakalpojumiem EUR 7000.</w:t>
      </w:r>
    </w:p>
    <w:p w:rsidR="000C7936" w:rsidRDefault="000C7936" w:rsidP="00A15FC0">
      <w:pPr>
        <w:ind w:firstLine="720"/>
        <w:jc w:val="both"/>
      </w:pPr>
      <w:r>
        <w:t xml:space="preserve">Pašvaldība ir noslēgusi līgumu ar Nodarbinātības valsts aģentūru par aktīvā nodarbinātības pasākuma “Algoti pagaidu sabiedriskie darbi” īstenošanu, kam tiks saņemts finansējums EUR </w:t>
      </w:r>
      <w:r w:rsidR="00486DDA">
        <w:t>117000</w:t>
      </w:r>
      <w:r>
        <w:t>.</w:t>
      </w:r>
    </w:p>
    <w:p w:rsidR="000C7936" w:rsidRDefault="0061669B" w:rsidP="0061669B">
      <w:pPr>
        <w:ind w:firstLine="720"/>
        <w:jc w:val="both"/>
      </w:pPr>
      <w:r>
        <w:t>1.-4.klases skolēnu ēdināšanai pirmajiem 5 mēnešiem plānots saņemt no valsts budžeta EUR 51869.</w:t>
      </w:r>
    </w:p>
    <w:p w:rsidR="0061669B" w:rsidRDefault="0061669B" w:rsidP="0061669B">
      <w:pPr>
        <w:ind w:firstLine="720"/>
        <w:jc w:val="both"/>
      </w:pPr>
      <w:r>
        <w:t>Pašvaldība 2020.gadā saņems valsts mērķdotāciju pašvaldību autoceļu(ielu) uzturēšanai EUR 1062041.</w:t>
      </w:r>
    </w:p>
    <w:p w:rsidR="0061669B" w:rsidRDefault="0061669B" w:rsidP="000C7936">
      <w:pPr>
        <w:ind w:firstLine="720"/>
      </w:pPr>
    </w:p>
    <w:p w:rsidR="000C7936" w:rsidRDefault="000C7936" w:rsidP="000C7936">
      <w:r>
        <w:t xml:space="preserve">             Pamatbudžeta ieņēmumu izmaiņas, salīdzinot ar 20</w:t>
      </w:r>
      <w:r w:rsidR="0061669B">
        <w:t>19</w:t>
      </w:r>
      <w:r>
        <w:t>.gada sākumu:</w:t>
      </w:r>
    </w:p>
    <w:p w:rsidR="000C7936" w:rsidRDefault="000C7936" w:rsidP="000C7936">
      <w:r w:rsidRPr="00A0499E">
        <w:rPr>
          <w:i/>
        </w:rPr>
        <w:t>palielinājušies</w:t>
      </w:r>
      <w:r>
        <w:t xml:space="preserve"> prognozētie ieņēmumi no</w:t>
      </w:r>
    </w:p>
    <w:p w:rsidR="000C7936" w:rsidRDefault="000C7936" w:rsidP="0061669B">
      <w:pPr>
        <w:pStyle w:val="Sarakstarindkopa"/>
        <w:numPr>
          <w:ilvl w:val="0"/>
          <w:numId w:val="1"/>
        </w:numPr>
      </w:pPr>
      <w:r>
        <w:t xml:space="preserve">nekustamā īpašuma nodokļa par </w:t>
      </w:r>
      <w:r w:rsidR="0061669B">
        <w:t>12835</w:t>
      </w:r>
      <w:r>
        <w:t>.00 EUR</w:t>
      </w:r>
    </w:p>
    <w:p w:rsidR="000C7936" w:rsidRPr="00787B91" w:rsidRDefault="000C7936" w:rsidP="0061669B">
      <w:pPr>
        <w:pStyle w:val="Sarakstarindkopa"/>
        <w:numPr>
          <w:ilvl w:val="0"/>
          <w:numId w:val="1"/>
        </w:numPr>
      </w:pPr>
      <w:r w:rsidRPr="00787B91">
        <w:t xml:space="preserve">mērķdotācijām no valsts budžeta </w:t>
      </w:r>
      <w:r>
        <w:t xml:space="preserve"> </w:t>
      </w:r>
      <w:r w:rsidR="0061669B">
        <w:t>966095</w:t>
      </w:r>
      <w:r w:rsidRPr="00787B91">
        <w:t>.00 EUR</w:t>
      </w:r>
    </w:p>
    <w:p w:rsidR="000C7936" w:rsidRDefault="000C7936" w:rsidP="0061669B">
      <w:pPr>
        <w:pStyle w:val="Sarakstarindkopa"/>
        <w:numPr>
          <w:ilvl w:val="0"/>
          <w:numId w:val="1"/>
        </w:numPr>
      </w:pPr>
      <w:r>
        <w:t xml:space="preserve">dotācija no pašvaldību finanšu izlīdzināšanas fonda  par </w:t>
      </w:r>
      <w:r w:rsidR="0061669B">
        <w:t>1519406</w:t>
      </w:r>
      <w:r>
        <w:t>.00 EUR</w:t>
      </w:r>
    </w:p>
    <w:p w:rsidR="000C7936" w:rsidRDefault="000C7936" w:rsidP="0061669B">
      <w:pPr>
        <w:pStyle w:val="Sarakstarindkopa"/>
        <w:numPr>
          <w:ilvl w:val="0"/>
          <w:numId w:val="1"/>
        </w:numPr>
      </w:pPr>
      <w:r>
        <w:t>i</w:t>
      </w:r>
      <w:r w:rsidRPr="00787B91">
        <w:t xml:space="preserve">eņēmumiem no maksas pakalpojumiem par  </w:t>
      </w:r>
      <w:r w:rsidR="0061669B">
        <w:t>22642</w:t>
      </w:r>
      <w:r w:rsidRPr="00787B91">
        <w:t>.00 EUR</w:t>
      </w:r>
    </w:p>
    <w:p w:rsidR="001A53A0" w:rsidRDefault="001A53A0" w:rsidP="0061669B">
      <w:pPr>
        <w:pStyle w:val="Sarakstarindkopa"/>
        <w:numPr>
          <w:ilvl w:val="0"/>
          <w:numId w:val="1"/>
        </w:numPr>
      </w:pPr>
      <w:proofErr w:type="spellStart"/>
      <w:r w:rsidRPr="00787B91">
        <w:t>transfertiem</w:t>
      </w:r>
      <w:proofErr w:type="spellEnd"/>
      <w:r w:rsidRPr="00787B91">
        <w:t xml:space="preserve"> no citām pašvaldībām </w:t>
      </w:r>
      <w:r w:rsidR="0061669B">
        <w:t>7000</w:t>
      </w:r>
      <w:r w:rsidRPr="00787B91">
        <w:t>.00 EUR</w:t>
      </w:r>
    </w:p>
    <w:p w:rsidR="0061669B" w:rsidRDefault="000C7936" w:rsidP="000C7936">
      <w:r w:rsidRPr="00A0499E">
        <w:rPr>
          <w:i/>
        </w:rPr>
        <w:t>samazinājušies</w:t>
      </w:r>
      <w:r>
        <w:t xml:space="preserve"> plānotie ieņēmumi no </w:t>
      </w:r>
    </w:p>
    <w:p w:rsidR="00A15FC0" w:rsidRDefault="00A15FC0" w:rsidP="0061669B">
      <w:pPr>
        <w:pStyle w:val="Sarakstarindkopa"/>
        <w:numPr>
          <w:ilvl w:val="0"/>
          <w:numId w:val="2"/>
        </w:numPr>
      </w:pPr>
      <w:r w:rsidRPr="00A15FC0">
        <w:t xml:space="preserve">iedzīvotāju ienākuma nodokļa par </w:t>
      </w:r>
      <w:r w:rsidR="0061669B">
        <w:t>176163</w:t>
      </w:r>
      <w:r w:rsidRPr="00A15FC0">
        <w:t>.00 EUR</w:t>
      </w:r>
    </w:p>
    <w:p w:rsidR="0061669B" w:rsidRDefault="0061669B" w:rsidP="0061669B">
      <w:pPr>
        <w:pStyle w:val="Sarakstarindkopa"/>
        <w:numPr>
          <w:ilvl w:val="0"/>
          <w:numId w:val="2"/>
        </w:numPr>
      </w:pPr>
      <w:proofErr w:type="spellStart"/>
      <w:r>
        <w:t>nenodokļu</w:t>
      </w:r>
      <w:proofErr w:type="spellEnd"/>
      <w:r>
        <w:t xml:space="preserve"> ieņēmumiem par </w:t>
      </w:r>
      <w:r>
        <w:t>981</w:t>
      </w:r>
      <w:r>
        <w:t>.00 EUR</w:t>
      </w:r>
    </w:p>
    <w:p w:rsidR="00A15FC0" w:rsidRDefault="00A15FC0" w:rsidP="000C7936"/>
    <w:p w:rsidR="000C7936" w:rsidRDefault="00B96CF1" w:rsidP="001A53A0">
      <w:pPr>
        <w:ind w:hanging="567"/>
      </w:pPr>
      <w:r>
        <w:rPr>
          <w:noProof/>
          <w:lang w:eastAsia="lv-LV"/>
        </w:rPr>
        <w:lastRenderedPageBreak/>
        <w:drawing>
          <wp:inline distT="0" distB="0" distL="0" distR="0" wp14:anchorId="53EDB39E" wp14:editId="6BF43124">
            <wp:extent cx="5753100" cy="4343400"/>
            <wp:effectExtent l="0" t="0" r="0" b="0"/>
            <wp:docPr id="3" name="Diagram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7936" w:rsidRPr="008C0B04" w:rsidRDefault="000C7936" w:rsidP="000C7936">
      <w:pPr>
        <w:rPr>
          <w:color w:val="FF0000"/>
        </w:rPr>
      </w:pPr>
    </w:p>
    <w:p w:rsidR="000C7936" w:rsidRDefault="000C7936" w:rsidP="000C7936"/>
    <w:p w:rsidR="000C7936" w:rsidRDefault="000C7936" w:rsidP="000C7936">
      <w:pPr>
        <w:outlineLvl w:val="0"/>
        <w:rPr>
          <w:b/>
        </w:rPr>
      </w:pPr>
    </w:p>
    <w:p w:rsidR="000C7936" w:rsidRDefault="000C7936" w:rsidP="000C7936">
      <w:pPr>
        <w:outlineLvl w:val="0"/>
      </w:pPr>
      <w:r w:rsidRPr="00B72F81">
        <w:rPr>
          <w:b/>
          <w:sz w:val="26"/>
          <w:szCs w:val="26"/>
        </w:rPr>
        <w:t>Izdevumi</w:t>
      </w:r>
    </w:p>
    <w:p w:rsidR="000C7936" w:rsidRDefault="000C7936" w:rsidP="000C7936">
      <w:r>
        <w:tab/>
      </w:r>
    </w:p>
    <w:p w:rsidR="000C7936" w:rsidRDefault="000C7936" w:rsidP="00075A13">
      <w:pPr>
        <w:jc w:val="both"/>
      </w:pPr>
      <w:r>
        <w:tab/>
      </w:r>
      <w:r w:rsidRPr="00BA33C6">
        <w:rPr>
          <w:i/>
        </w:rPr>
        <w:t>Izpildvaras</w:t>
      </w:r>
      <w:r>
        <w:rPr>
          <w:i/>
        </w:rPr>
        <w:t xml:space="preserve"> </w:t>
      </w:r>
      <w:r w:rsidRPr="00BA33C6">
        <w:rPr>
          <w:i/>
        </w:rPr>
        <w:t>funkciju nodrošināšanai</w:t>
      </w:r>
      <w:r>
        <w:t xml:space="preserve"> paredzēts finansējums  EUR </w:t>
      </w:r>
      <w:r w:rsidR="00E57039">
        <w:t>2827291</w:t>
      </w:r>
      <w:r>
        <w:t xml:space="preserve"> apmērā, tajā skaitā pašvaldības iepriekšējos gados saņemto un kārtējā gadā plānoto aizņēmumu   procentu nomaksa EUR </w:t>
      </w:r>
      <w:r w:rsidRPr="00D13FE8">
        <w:t>58</w:t>
      </w:r>
      <w:r w:rsidR="00E57039">
        <w:t>221</w:t>
      </w:r>
      <w:r>
        <w:t xml:space="preserve">, kredītu apkalpošanas maksu samaksai EUR </w:t>
      </w:r>
      <w:r w:rsidR="00075A13">
        <w:t>57895</w:t>
      </w:r>
      <w:r>
        <w:t>. Aizņēmumi nepieciešami ES struktūrfondu projektu realizācijai.</w:t>
      </w:r>
    </w:p>
    <w:p w:rsidR="000C7936" w:rsidRDefault="000C7936" w:rsidP="00075A13">
      <w:pPr>
        <w:jc w:val="both"/>
      </w:pPr>
      <w:r>
        <w:tab/>
      </w:r>
      <w:r w:rsidRPr="00C64BC0">
        <w:rPr>
          <w:i/>
        </w:rPr>
        <w:t>Sabiedriskai kārtībai un drošībai</w:t>
      </w:r>
      <w:r>
        <w:t xml:space="preserve"> paredzēts finansējums  EUR </w:t>
      </w:r>
      <w:r w:rsidR="00E57039">
        <w:t>1329</w:t>
      </w:r>
      <w:r>
        <w:t xml:space="preserve"> apmērā.</w:t>
      </w:r>
    </w:p>
    <w:p w:rsidR="000C7936" w:rsidRPr="00276897" w:rsidRDefault="000C7936" w:rsidP="00075A13">
      <w:pPr>
        <w:jc w:val="both"/>
        <w:rPr>
          <w:color w:val="FF0000"/>
        </w:rPr>
      </w:pPr>
      <w:r>
        <w:tab/>
      </w:r>
      <w:r w:rsidRPr="00C64BC0">
        <w:rPr>
          <w:i/>
        </w:rPr>
        <w:t>Ekonomiskai darbībai</w:t>
      </w:r>
      <w:r>
        <w:t xml:space="preserve"> paredzēts finansējums  EUR </w:t>
      </w:r>
      <w:r w:rsidR="00E57039">
        <w:t>382930</w:t>
      </w:r>
      <w:r>
        <w:t xml:space="preserve"> apmērā.  Šajos izdevumos ietilpst finansējums vispārējiem nodarbinātības pasākumiem, lauksaimniecībai, tūrismam.</w:t>
      </w:r>
      <w:r w:rsidRPr="002E57DE">
        <w:t xml:space="preserve"> </w:t>
      </w:r>
      <w:r>
        <w:t xml:space="preserve"> </w:t>
      </w:r>
      <w:r w:rsidRPr="00FC5A12">
        <w:t>Lai  atbalstītu nodarbinātības līmeņa paaugstināšanos un nodrošinātu bezdarbnieku iesaisti algotajos pagaidu sabiedriskajos darbos</w:t>
      </w:r>
      <w:r w:rsidRPr="006B0489">
        <w:t>,  noslēgts līgums ar Nodarbinātības Valsts aģentūru par algotu pagaidu sabiedrisko darbu vietu izveidi un finansējuma piesaisti.</w:t>
      </w:r>
    </w:p>
    <w:p w:rsidR="000C7936" w:rsidRDefault="000C7936" w:rsidP="000A79AB">
      <w:pPr>
        <w:jc w:val="both"/>
      </w:pPr>
      <w:r>
        <w:tab/>
      </w:r>
      <w:r w:rsidRPr="00DC0ABF">
        <w:rPr>
          <w:i/>
        </w:rPr>
        <w:t>Pašvaldības teritoriju un mājokļu apsaimniekošanai</w:t>
      </w:r>
      <w:r>
        <w:t xml:space="preserve"> paredzēts EUR </w:t>
      </w:r>
      <w:r w:rsidR="00E57039">
        <w:t>4579877</w:t>
      </w:r>
      <w:r>
        <w:t xml:space="preserve">. Šo izdevumu īpatsvars pašvaldības budžetā  ir </w:t>
      </w:r>
      <w:r w:rsidR="00E57039">
        <w:t>17,6</w:t>
      </w:r>
      <w:r>
        <w:t>%. Šajos izdevumos ietilpst  finansējums mājokļu attīstībai, teritoriju attīstībai un apsaimniekošanai, ūdensapgādei</w:t>
      </w:r>
      <w:r w:rsidR="00E57039">
        <w:t>, ceļu uzturēšanai</w:t>
      </w:r>
      <w:r>
        <w:t xml:space="preserve">. Investīciju projektu realizācijai, </w:t>
      </w:r>
      <w:bookmarkStart w:id="1" w:name="OLE_LINK1"/>
      <w:bookmarkStart w:id="2" w:name="OLE_LINK2"/>
      <w:r>
        <w:t>ar budžeta grozījumiem no atlikuma uz gada sākumu tiks novirzīti papildus līdzekļi.</w:t>
      </w:r>
    </w:p>
    <w:p w:rsidR="000C7936" w:rsidRDefault="000C7936" w:rsidP="000A79AB">
      <w:pPr>
        <w:jc w:val="both"/>
      </w:pPr>
    </w:p>
    <w:bookmarkEnd w:id="1"/>
    <w:bookmarkEnd w:id="2"/>
    <w:p w:rsidR="000C7936" w:rsidRDefault="000C7936" w:rsidP="000A79AB">
      <w:pPr>
        <w:jc w:val="both"/>
      </w:pPr>
      <w:r>
        <w:lastRenderedPageBreak/>
        <w:tab/>
      </w:r>
      <w:r w:rsidRPr="00DE67D4">
        <w:rPr>
          <w:i/>
        </w:rPr>
        <w:t>Veselībai</w:t>
      </w:r>
      <w:r>
        <w:t xml:space="preserve"> paredzēti  EUR </w:t>
      </w:r>
      <w:r w:rsidR="00E57039">
        <w:t>163271</w:t>
      </w:r>
      <w:r>
        <w:t>. Galvenokārt līdzekļi paredzēti ambulatoro ārstniecības iestāžu darbībai.</w:t>
      </w:r>
    </w:p>
    <w:p w:rsidR="000C7936" w:rsidRDefault="000C7936" w:rsidP="000A79AB">
      <w:pPr>
        <w:jc w:val="both"/>
      </w:pPr>
      <w:r>
        <w:tab/>
      </w:r>
      <w:r w:rsidRPr="00DE67D4">
        <w:rPr>
          <w:i/>
        </w:rPr>
        <w:t>Atpūtai un kultūrai</w:t>
      </w:r>
      <w:r>
        <w:t xml:space="preserve"> paredzēti  EUR </w:t>
      </w:r>
      <w:r w:rsidR="00E57039">
        <w:t>2739523</w:t>
      </w:r>
      <w:r>
        <w:t xml:space="preserve">. Šo izdevumu īpatsvars pašvaldības budžetā  ir </w:t>
      </w:r>
      <w:r w:rsidR="00E57039">
        <w:t>10,5</w:t>
      </w:r>
      <w:r>
        <w:t>%. Līdzekļi paredzēti kultūras  un sporta pasākumu organizēšanai, bibliotēku, muzej</w:t>
      </w:r>
      <w:r w:rsidR="00E57039">
        <w:t>u</w:t>
      </w:r>
      <w:r>
        <w:t>, kultūras namu darbības nodrošināšanai.</w:t>
      </w:r>
    </w:p>
    <w:p w:rsidR="000C7936" w:rsidRDefault="000C7936" w:rsidP="000A79AB">
      <w:pPr>
        <w:jc w:val="both"/>
      </w:pPr>
      <w:r>
        <w:tab/>
      </w:r>
      <w:r w:rsidRPr="00315414">
        <w:rPr>
          <w:i/>
        </w:rPr>
        <w:t>Izglītībai</w:t>
      </w:r>
      <w:r>
        <w:t xml:space="preserve"> paredzēti  EUR </w:t>
      </w:r>
      <w:r w:rsidR="00E57039">
        <w:t>10759712</w:t>
      </w:r>
      <w:r>
        <w:t xml:space="preserve">. Šo izdevumu īpatsvars pašvaldības budžetā  ir </w:t>
      </w:r>
      <w:r w:rsidR="000A79AB">
        <w:t>41</w:t>
      </w:r>
      <w:r w:rsidR="00E57039">
        <w:t>,3</w:t>
      </w:r>
      <w:r>
        <w:t>%. Līdzekļi paredzēti pirmsskolas izglītības iestāžu, vispārējās izglītības iestāžu, mūzikas un  mākslas skolu, bērnu un jaunatnes sporta skolas, bērnu un jauniešu centra darbības nodrošināšanai, dažādu izglītības pasākumu organizēšanai</w:t>
      </w:r>
      <w:r w:rsidR="00E57039">
        <w:t>, skolēnu pārvadājumiem, ēdināšanai</w:t>
      </w:r>
      <w:r>
        <w:t xml:space="preserve">. </w:t>
      </w:r>
      <w:r w:rsidR="000A79AB">
        <w:t>Šajā summā ietilps arī rezerve</w:t>
      </w:r>
      <w:r w:rsidR="00E57039">
        <w:t>s</w:t>
      </w:r>
      <w:r w:rsidR="000A79AB">
        <w:t xml:space="preserve"> izglītības iestāžu pedagogu atalgojumiem no septembra līdz decembrim, kā arī līdzekļi pirmsskolas izglītības iestāžu audzēkņu un vispārējo skolu skolēnu ēdināšanai otrajā pusgadā.  </w:t>
      </w:r>
    </w:p>
    <w:p w:rsidR="000C7936" w:rsidRDefault="000C7936" w:rsidP="000A79AB">
      <w:pPr>
        <w:jc w:val="both"/>
      </w:pPr>
      <w:r>
        <w:tab/>
      </w:r>
      <w:r w:rsidRPr="00315414">
        <w:rPr>
          <w:i/>
        </w:rPr>
        <w:t>Sociālai aizsardzībai</w:t>
      </w:r>
      <w:r>
        <w:t xml:space="preserve"> paredzēti EUR </w:t>
      </w:r>
      <w:r w:rsidR="00E57039">
        <w:t>3109274</w:t>
      </w:r>
      <w:r>
        <w:t xml:space="preserve">. Šo izdevumu īpatsvars pašvaldības budžetā  ir </w:t>
      </w:r>
      <w:r w:rsidR="000A79AB">
        <w:t>11.</w:t>
      </w:r>
      <w:r w:rsidR="00E57039">
        <w:t>9</w:t>
      </w:r>
      <w:r>
        <w:t>%. Tajā skaitā EUR 6</w:t>
      </w:r>
      <w:r w:rsidR="00E57039">
        <w:t>4</w:t>
      </w:r>
      <w:r>
        <w:t xml:space="preserve">0000  ir sociālajiem pabalstiem paredzētie līdzekļi.  </w:t>
      </w:r>
    </w:p>
    <w:p w:rsidR="000C7936" w:rsidRDefault="000C7936" w:rsidP="000A79AB">
      <w:pPr>
        <w:jc w:val="both"/>
      </w:pPr>
      <w:r>
        <w:tab/>
      </w:r>
      <w:r w:rsidRPr="00F66A8F">
        <w:rPr>
          <w:i/>
        </w:rPr>
        <w:t>Finansēšanai</w:t>
      </w:r>
      <w:r>
        <w:t xml:space="preserve"> ( aizdevumu pamatsummu atmaksai) paredzēti EUR </w:t>
      </w:r>
      <w:r w:rsidR="00E57039">
        <w:t>1503868</w:t>
      </w:r>
      <w:r w:rsidR="000A79AB">
        <w:t>.</w:t>
      </w:r>
    </w:p>
    <w:p w:rsidR="000C7936" w:rsidRDefault="00B96CF1" w:rsidP="000C7936"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254337DF" wp14:editId="1EC33969">
            <wp:simplePos x="0" y="0"/>
            <wp:positionH relativeFrom="column">
              <wp:posOffset>-276225</wp:posOffset>
            </wp:positionH>
            <wp:positionV relativeFrom="paragraph">
              <wp:posOffset>207645</wp:posOffset>
            </wp:positionV>
            <wp:extent cx="5845810" cy="4467225"/>
            <wp:effectExtent l="0" t="0" r="0" b="0"/>
            <wp:wrapTopAndBottom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C7936" w:rsidRDefault="000C7936" w:rsidP="000C7936"/>
    <w:p w:rsidR="000C7936" w:rsidRDefault="000C7936" w:rsidP="000C7936"/>
    <w:p w:rsidR="000C7936" w:rsidRDefault="000C7936" w:rsidP="000C7936"/>
    <w:p w:rsidR="000C7936" w:rsidRDefault="000C7936" w:rsidP="000C7936">
      <w:r>
        <w:tab/>
      </w:r>
    </w:p>
    <w:p w:rsidR="000C7936" w:rsidRDefault="000C7936" w:rsidP="000A79AB">
      <w:pPr>
        <w:ind w:firstLine="720"/>
        <w:jc w:val="both"/>
      </w:pPr>
      <w:r>
        <w:t>5</w:t>
      </w:r>
      <w:r w:rsidR="00E57039">
        <w:t>5</w:t>
      </w:r>
      <w:r>
        <w:t xml:space="preserve"> </w:t>
      </w:r>
      <w:r w:rsidRPr="006476E1">
        <w:t xml:space="preserve">% no kopējiem pamatbudžeta izdevumiem </w:t>
      </w:r>
      <w:r>
        <w:t xml:space="preserve">EUR </w:t>
      </w:r>
      <w:r w:rsidR="00E57039">
        <w:t>14361072</w:t>
      </w:r>
      <w:r>
        <w:t xml:space="preserve"> </w:t>
      </w:r>
      <w:r w:rsidRPr="006476E1">
        <w:t xml:space="preserve">paredzēts </w:t>
      </w:r>
      <w:r w:rsidRPr="006476E1">
        <w:lastRenderedPageBreak/>
        <w:t xml:space="preserve">izlietot atalgojumam un darba devēja valsts sociālās apdrošināšanas obligātajām iemaksām (ieskaitot rezervi pedagogu atalgojumiem no septembra), </w:t>
      </w:r>
      <w:r w:rsidR="00B96CF1">
        <w:t xml:space="preserve">EUR </w:t>
      </w:r>
      <w:r w:rsidR="00E57039">
        <w:t>2069911</w:t>
      </w:r>
      <w:r w:rsidRPr="006476E1">
        <w:t xml:space="preserve"> paredzēts izlietot komunālo pakalpojumu apmaksai, degvielas un kurināmā iegādei,</w:t>
      </w:r>
      <w:r w:rsidR="000A79AB">
        <w:t xml:space="preserve"> </w:t>
      </w:r>
      <w:r w:rsidR="000A79AB" w:rsidRPr="006476E1">
        <w:t>EUR</w:t>
      </w:r>
      <w:r w:rsidR="000A79AB">
        <w:t xml:space="preserve"> </w:t>
      </w:r>
      <w:r w:rsidR="00E57039">
        <w:t>806522</w:t>
      </w:r>
      <w:r w:rsidRPr="006476E1">
        <w:t xml:space="preserve"> </w:t>
      </w:r>
      <w:r>
        <w:t xml:space="preserve">no pašvaldības budžeta līdzekļiem </w:t>
      </w:r>
      <w:r w:rsidRPr="006476E1">
        <w:t xml:space="preserve">paredzēti produktu iegādei </w:t>
      </w:r>
      <w:r w:rsidR="00E57039">
        <w:t>1</w:t>
      </w:r>
      <w:r>
        <w:t xml:space="preserve">. – 12.klašu </w:t>
      </w:r>
      <w:r w:rsidRPr="006476E1">
        <w:t>skolēnu un pirmsskolas izglītības iestāžu audzēkņu ēdināšanai (ieskaitot rezervi 2.pusgadam)</w:t>
      </w:r>
      <w:r w:rsidR="00B96CF1">
        <w:t xml:space="preserve"> un pansionātu iemītnieku ēdināšanai</w:t>
      </w:r>
      <w:r w:rsidRPr="006476E1">
        <w:t xml:space="preserve">, </w:t>
      </w:r>
      <w:r w:rsidR="000A79AB" w:rsidRPr="006476E1">
        <w:t>EUR</w:t>
      </w:r>
      <w:r w:rsidR="000A79AB" w:rsidRPr="00BF3FCB">
        <w:t xml:space="preserve"> </w:t>
      </w:r>
      <w:r w:rsidR="00E57039">
        <w:t>196118</w:t>
      </w:r>
      <w:r w:rsidRPr="006476E1">
        <w:t xml:space="preserve"> paredzēti skolēnu pārvadājumiem.</w:t>
      </w:r>
      <w:r w:rsidR="00E57039">
        <w:t xml:space="preserve"> Ceļu un ielu uzturēšanai paredzēti EUR 1062041.</w:t>
      </w:r>
    </w:p>
    <w:p w:rsidR="00B96CF1" w:rsidRPr="006476E1" w:rsidRDefault="005A5E5A" w:rsidP="000A79AB">
      <w:pPr>
        <w:ind w:firstLine="720"/>
        <w:jc w:val="both"/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226695</wp:posOffset>
            </wp:positionV>
            <wp:extent cx="5893435" cy="5372100"/>
            <wp:effectExtent l="0" t="0" r="0" b="0"/>
            <wp:wrapTopAndBottom/>
            <wp:docPr id="6" name="Diagram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:rsidR="000C7936" w:rsidRPr="006476E1" w:rsidRDefault="000C7936" w:rsidP="000C7936">
      <w:pPr>
        <w:ind w:firstLine="567"/>
      </w:pPr>
    </w:p>
    <w:p w:rsidR="000C7936" w:rsidRDefault="000C7936" w:rsidP="00853B79">
      <w:pPr>
        <w:ind w:firstLine="720"/>
        <w:jc w:val="both"/>
      </w:pPr>
      <w:r>
        <w:t xml:space="preserve">Sekojot līdzi izglītības reformām valstī kopumā un tām sekojošiem mērķdotāciju maksājumiem pašvaldības budžetā pedagogu algām, iespēju robežās līdzfinansēsim no pašvaldības </w:t>
      </w:r>
      <w:r w:rsidR="00E634B7">
        <w:t>budžeta mazo lauku skolu pedagog</w:t>
      </w:r>
      <w:r>
        <w:t>u algu maksājumus, sag</w:t>
      </w:r>
      <w:r w:rsidR="00E634B7">
        <w:t>l</w:t>
      </w:r>
      <w:r>
        <w:t xml:space="preserve">abājot pamatprincipu novadā: “Pirmsskola un sākumskola maksimāli tuvu bērna dzīvesvietai”. </w:t>
      </w:r>
    </w:p>
    <w:p w:rsidR="000C7936" w:rsidRDefault="000C7936" w:rsidP="00853B79">
      <w:pPr>
        <w:jc w:val="both"/>
      </w:pPr>
    </w:p>
    <w:p w:rsidR="000C7936" w:rsidRDefault="000C7936" w:rsidP="000C7936"/>
    <w:p w:rsidR="000C7936" w:rsidRDefault="000C7936" w:rsidP="000C7936"/>
    <w:p w:rsidR="00AF7109" w:rsidRPr="000C7936" w:rsidRDefault="000C7936" w:rsidP="000C7936">
      <w:r>
        <w:t xml:space="preserve">Domes priekšsēdētājs                                                 </w:t>
      </w:r>
      <w:proofErr w:type="spellStart"/>
      <w:r>
        <w:t>A.Lungevičs</w:t>
      </w:r>
      <w:proofErr w:type="spellEnd"/>
    </w:p>
    <w:sectPr w:rsidR="00AF7109" w:rsidRPr="000C7936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83" w:rsidRDefault="000A2983" w:rsidP="00B96CF1">
      <w:r>
        <w:separator/>
      </w:r>
    </w:p>
  </w:endnote>
  <w:endnote w:type="continuationSeparator" w:id="0">
    <w:p w:rsidR="000A2983" w:rsidRDefault="000A2983" w:rsidP="00B9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358580"/>
      <w:docPartObj>
        <w:docPartGallery w:val="Page Numbers (Bottom of Page)"/>
        <w:docPartUnique/>
      </w:docPartObj>
    </w:sdtPr>
    <w:sdtContent>
      <w:p w:rsidR="00B96CF1" w:rsidRDefault="00B96CF1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0B">
          <w:rPr>
            <w:noProof/>
          </w:rPr>
          <w:t>2</w:t>
        </w:r>
        <w:r>
          <w:fldChar w:fldCharType="end"/>
        </w:r>
      </w:p>
    </w:sdtContent>
  </w:sdt>
  <w:p w:rsidR="00B96CF1" w:rsidRDefault="00B96CF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83" w:rsidRDefault="000A2983" w:rsidP="00B96CF1">
      <w:r>
        <w:separator/>
      </w:r>
    </w:p>
  </w:footnote>
  <w:footnote w:type="continuationSeparator" w:id="0">
    <w:p w:rsidR="000A2983" w:rsidRDefault="000A2983" w:rsidP="00B9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F0C"/>
    <w:multiLevelType w:val="hybridMultilevel"/>
    <w:tmpl w:val="7024B1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70423"/>
    <w:multiLevelType w:val="hybridMultilevel"/>
    <w:tmpl w:val="A538EC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9D"/>
    <w:rsid w:val="00035B2F"/>
    <w:rsid w:val="000462DD"/>
    <w:rsid w:val="00075A13"/>
    <w:rsid w:val="000A2983"/>
    <w:rsid w:val="000A33CF"/>
    <w:rsid w:val="000A4F9D"/>
    <w:rsid w:val="000A5994"/>
    <w:rsid w:val="000A74A3"/>
    <w:rsid w:val="000A79AB"/>
    <w:rsid w:val="000C7936"/>
    <w:rsid w:val="00132BEF"/>
    <w:rsid w:val="00140C7C"/>
    <w:rsid w:val="001A53A0"/>
    <w:rsid w:val="001B78F2"/>
    <w:rsid w:val="00240440"/>
    <w:rsid w:val="002B182B"/>
    <w:rsid w:val="002B3BA1"/>
    <w:rsid w:val="002C2850"/>
    <w:rsid w:val="003038A1"/>
    <w:rsid w:val="00355DDB"/>
    <w:rsid w:val="0039330B"/>
    <w:rsid w:val="003A0A06"/>
    <w:rsid w:val="003B5B94"/>
    <w:rsid w:val="0041234E"/>
    <w:rsid w:val="004504E9"/>
    <w:rsid w:val="00463194"/>
    <w:rsid w:val="004633D4"/>
    <w:rsid w:val="00464254"/>
    <w:rsid w:val="00486DDA"/>
    <w:rsid w:val="004A1430"/>
    <w:rsid w:val="005049AB"/>
    <w:rsid w:val="00544EB6"/>
    <w:rsid w:val="00585301"/>
    <w:rsid w:val="005974A9"/>
    <w:rsid w:val="005A5E5A"/>
    <w:rsid w:val="005D7FE4"/>
    <w:rsid w:val="0061669B"/>
    <w:rsid w:val="00692D58"/>
    <w:rsid w:val="0075585B"/>
    <w:rsid w:val="007907E5"/>
    <w:rsid w:val="007D2E0C"/>
    <w:rsid w:val="007D5A91"/>
    <w:rsid w:val="007D7C38"/>
    <w:rsid w:val="008171D7"/>
    <w:rsid w:val="00826281"/>
    <w:rsid w:val="00853B79"/>
    <w:rsid w:val="0089392C"/>
    <w:rsid w:val="008D74EF"/>
    <w:rsid w:val="00924DF4"/>
    <w:rsid w:val="00A0499E"/>
    <w:rsid w:val="00A15FC0"/>
    <w:rsid w:val="00A2705D"/>
    <w:rsid w:val="00A32C75"/>
    <w:rsid w:val="00A9031C"/>
    <w:rsid w:val="00AB37C6"/>
    <w:rsid w:val="00AD45F1"/>
    <w:rsid w:val="00AF7109"/>
    <w:rsid w:val="00B241D5"/>
    <w:rsid w:val="00B26BFA"/>
    <w:rsid w:val="00B96CF1"/>
    <w:rsid w:val="00BD000C"/>
    <w:rsid w:val="00BF3FCB"/>
    <w:rsid w:val="00C32B7E"/>
    <w:rsid w:val="00C40B8F"/>
    <w:rsid w:val="00C50A0E"/>
    <w:rsid w:val="00CE5FF6"/>
    <w:rsid w:val="00D13FE8"/>
    <w:rsid w:val="00D27D9C"/>
    <w:rsid w:val="00D6320A"/>
    <w:rsid w:val="00E57039"/>
    <w:rsid w:val="00E634B7"/>
    <w:rsid w:val="00E97A43"/>
    <w:rsid w:val="00EA6E1B"/>
    <w:rsid w:val="00F03A81"/>
    <w:rsid w:val="00F27667"/>
    <w:rsid w:val="00F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2216"/>
  <w15:chartTrackingRefBased/>
  <w15:docId w15:val="{0BDED194-D3BD-45B6-BD9E-599C2574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4F9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37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37C6"/>
    <w:rPr>
      <w:rFonts w:ascii="Segoe UI" w:eastAsia="Lucida Sans Unicode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1669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96CF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96CF1"/>
    <w:rPr>
      <w:rFonts w:ascii="Arial" w:eastAsia="Lucida Sans Unicode" w:hAnsi="Arial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96CF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6CF1"/>
    <w:rPr>
      <w:rFonts w:ascii="Arial" w:eastAsia="Lucida Sans Unicode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naB\Desktop\2020.gada%20pl&#257;ns\Grafiki%20pie%20bud&#382;eta%20paskaidrojuma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naB\Desktop\2020.gada%20pl&#257;ns\Grafiki%20pie%20bud&#382;eta%20paskaidrojuma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naB\Desktop\2020.gada%20pl&#257;ns\Grafiki%20pie%20bud&#382;eta%20paskaidrojuma%20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b="1"/>
              <a:t>Pamatbudžeta</a:t>
            </a:r>
            <a:r>
              <a:rPr lang="lv-LV" b="1" baseline="0"/>
              <a:t> ieņēmumi (%)</a:t>
            </a:r>
            <a:endParaRPr lang="lv-LV" b="1"/>
          </a:p>
        </c:rich>
      </c:tx>
      <c:layout>
        <c:manualLayout>
          <c:xMode val="edge"/>
          <c:yMode val="edge"/>
          <c:x val="0.33677480018805828"/>
          <c:y val="2.12060967528164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22048413905948638"/>
          <c:y val="0.16565102402352669"/>
          <c:w val="0.53646457803493885"/>
          <c:h val="0.75616975313473489"/>
        </c:manualLayout>
      </c:layout>
      <c:pie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53-4277-88FA-E8C16410E3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53-4277-88FA-E8C16410E3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53-4277-88FA-E8C16410E3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53-4277-88FA-E8C16410E3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453-4277-88FA-E8C16410E3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453-4277-88FA-E8C16410E3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453-4277-88FA-E8C16410E3F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453-4277-88FA-E8C16410E3FC}"/>
              </c:ext>
            </c:extLst>
          </c:dPt>
          <c:dLbls>
            <c:dLbl>
              <c:idx val="0"/>
              <c:layout>
                <c:manualLayout>
                  <c:x val="0.19873215643373257"/>
                  <c:y val="8.81355148053857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53-4277-88FA-E8C16410E3FC}"/>
                </c:ext>
              </c:extLst>
            </c:dLbl>
            <c:dLbl>
              <c:idx val="6"/>
              <c:layout>
                <c:manualLayout>
                  <c:x val="-0.24941135531542338"/>
                  <c:y val="3.428895479843223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453-4277-88FA-E8C16410E3FC}"/>
                </c:ext>
              </c:extLst>
            </c:dLbl>
            <c:dLbl>
              <c:idx val="7"/>
              <c:layout>
                <c:manualLayout>
                  <c:x val="7.4620639307503784E-3"/>
                  <c:y val="1.23727955058249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453-4277-88FA-E8C16410E3F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Lapa1!$B$5:$B$12</c:f>
              <c:strCache>
                <c:ptCount val="8"/>
                <c:pt idx="0">
                  <c:v>Iestāžu ieņēmumi no maksas pakalpojumiem</c:v>
                </c:pt>
                <c:pt idx="1">
                  <c:v>Iedzīvotāju ienākuma nodoklis</c:v>
                </c:pt>
                <c:pt idx="2">
                  <c:v>Nekustamā īpašuma nodoklis</c:v>
                </c:pt>
                <c:pt idx="3">
                  <c:v>Dotācija no PFIF</c:v>
                </c:pt>
                <c:pt idx="4">
                  <c:v>Azartspēlu nodoklis</c:v>
                </c:pt>
                <c:pt idx="5">
                  <c:v>Mērķdotācijas</c:v>
                </c:pt>
                <c:pt idx="6">
                  <c:v>Pašvaldību budžetu transferti</c:v>
                </c:pt>
                <c:pt idx="7">
                  <c:v>Pārējie ieņemumi</c:v>
                </c:pt>
              </c:strCache>
            </c:strRef>
          </c:cat>
          <c:val>
            <c:numRef>
              <c:f>Lapa1!$C$5:$C$12</c:f>
              <c:numCache>
                <c:formatCode>General</c:formatCode>
                <c:ptCount val="8"/>
                <c:pt idx="0">
                  <c:v>1253393</c:v>
                </c:pt>
                <c:pt idx="1">
                  <c:v>11054274</c:v>
                </c:pt>
                <c:pt idx="2">
                  <c:v>1235623</c:v>
                </c:pt>
                <c:pt idx="3">
                  <c:v>6740370</c:v>
                </c:pt>
                <c:pt idx="4">
                  <c:v>18000</c:v>
                </c:pt>
                <c:pt idx="5">
                  <c:v>5314915</c:v>
                </c:pt>
                <c:pt idx="6">
                  <c:v>407000</c:v>
                </c:pt>
                <c:pt idx="7">
                  <c:v>44450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453-4277-88FA-E8C16410E3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Pama</a:t>
            </a:r>
            <a:r>
              <a:rPr lang="lv-LV" b="1"/>
              <a:t>tbudžeta izdevumi (%)</a:t>
            </a:r>
            <a:endParaRPr lang="en-US" b="1"/>
          </a:p>
        </c:rich>
      </c:tx>
      <c:layout>
        <c:manualLayout>
          <c:xMode val="edge"/>
          <c:yMode val="edge"/>
          <c:x val="0.34318302465712913"/>
          <c:y val="3.0075187969924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4D-4DE6-914A-BCD02E9A28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4D-4DE6-914A-BCD02E9A28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4D-4DE6-914A-BCD02E9A28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4D-4DE6-914A-BCD02E9A28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C4D-4DE6-914A-BCD02E9A28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C4D-4DE6-914A-BCD02E9A281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C4D-4DE6-914A-BCD02E9A281D}"/>
              </c:ext>
            </c:extLst>
          </c:dPt>
          <c:dLbls>
            <c:dLbl>
              <c:idx val="2"/>
              <c:layout>
                <c:manualLayout>
                  <c:x val="-1.0229566374625706E-2"/>
                  <c:y val="6.05468395397943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4D-4DE6-914A-BCD02E9A281D}"/>
                </c:ext>
              </c:extLst>
            </c:dLbl>
            <c:dLbl>
              <c:idx val="3"/>
              <c:layout>
                <c:manualLayout>
                  <c:x val="-0.15498310598499132"/>
                  <c:y val="-5.177510705898604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4D-4DE6-914A-BCD02E9A281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5A16EFC-ABF1-49EC-8F75-A7C047A4EFE8}" type="CATEGORYNAME">
                      <a:rPr lang="en-US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[KATEGORIJAS NOSAUKUMS]</a:t>
                    </a:fld>
                    <a:r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
</a:t>
                    </a:r>
                    <a:fld id="{999F1F50-4E37-475C-8F7D-DB7D4F9830AA}" type="PERCENTAGE"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[PROCENTUĀLĀ VĒRTĪBA]</a:t>
                    </a:fld>
                    <a:endParaRPr lang="en-US" baseline="0">
                      <a:solidFill>
                        <a:schemeClr val="bg1">
                          <a:lumMod val="95000"/>
                        </a:schemeClr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C4D-4DE6-914A-BCD02E9A281D}"/>
                </c:ext>
              </c:extLst>
            </c:dLbl>
            <c:dLbl>
              <c:idx val="5"/>
              <c:layout>
                <c:manualLayout>
                  <c:x val="-3.3810210343425379E-4"/>
                  <c:y val="-0.1147743374183490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4D-4DE6-914A-BCD02E9A281D}"/>
                </c:ext>
              </c:extLst>
            </c:dLbl>
            <c:dLbl>
              <c:idx val="6"/>
              <c:layout>
                <c:manualLayout>
                  <c:x val="0.16954170765846793"/>
                  <c:y val="5.0203763315917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CBA61B-28AE-41CB-BE37-C50EE17C3129}" type="CATEGORYNAME">
                      <a:rPr lang="en-US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>
                        <a:defRPr/>
                      </a:pPr>
                      <a:t>[KATEGORIJAS NOSAUKUMS]</a:t>
                    </a:fld>
                    <a:r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
</a:t>
                    </a:r>
                    <a:fld id="{47EFB94A-FB32-4758-B7C3-793BAF1C81A9}" type="PERCENTAGE"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>
                        <a:defRPr/>
                      </a:pPr>
                      <a:t>[PROCENTUĀLĀ VĒRTĪBA]</a:t>
                    </a:fld>
                    <a:endParaRPr lang="en-US" baseline="0">
                      <a:solidFill>
                        <a:schemeClr val="bg1">
                          <a:lumMod val="95000"/>
                        </a:schemeClr>
                      </a:solidFill>
                    </a:endParaRP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011273031453298"/>
                      <c:h val="0.105225279675861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C4D-4DE6-914A-BCD02E9A281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Lapa1!$B$32:$B$38</c:f>
              <c:strCache>
                <c:ptCount val="7"/>
                <c:pt idx="0">
                  <c:v>Sociālā aizsardzība</c:v>
                </c:pt>
                <c:pt idx="1">
                  <c:v>Ekonomiskā darbība</c:v>
                </c:pt>
                <c:pt idx="2">
                  <c:v>Kredītu pamatsummas atmaksa, procentu maksājumi, kredītu apkalpošana</c:v>
                </c:pt>
                <c:pt idx="3">
                  <c:v>Pārējie( izpildvara, veselība, sabiedriskā kārtība)</c:v>
                </c:pt>
                <c:pt idx="4">
                  <c:v>Kultūra un sports</c:v>
                </c:pt>
                <c:pt idx="5">
                  <c:v>Pašvaldības teritoriju un mājokļu apsaimniekošana</c:v>
                </c:pt>
                <c:pt idx="6">
                  <c:v>Izglītība</c:v>
                </c:pt>
              </c:strCache>
            </c:strRef>
          </c:cat>
          <c:val>
            <c:numRef>
              <c:f>Lapa1!$C$32:$C$38</c:f>
              <c:numCache>
                <c:formatCode>General</c:formatCode>
                <c:ptCount val="7"/>
                <c:pt idx="0">
                  <c:v>3109274</c:v>
                </c:pt>
                <c:pt idx="1">
                  <c:v>382930</c:v>
                </c:pt>
                <c:pt idx="2">
                  <c:v>1621134</c:v>
                </c:pt>
                <c:pt idx="3">
                  <c:v>2875575</c:v>
                </c:pt>
                <c:pt idx="4">
                  <c:v>2739523</c:v>
                </c:pt>
                <c:pt idx="5">
                  <c:v>4579877</c:v>
                </c:pt>
                <c:pt idx="6">
                  <c:v>10759712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C4D-4DE6-914A-BCD02E9A2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Pama</a:t>
            </a:r>
            <a:r>
              <a:rPr lang="lv-LV" b="1"/>
              <a:t>tbudžeta izdevumi (%)</a:t>
            </a:r>
            <a:endParaRPr lang="en-US" b="1"/>
          </a:p>
        </c:rich>
      </c:tx>
      <c:layout>
        <c:manualLayout>
          <c:xMode val="edge"/>
          <c:yMode val="edge"/>
          <c:x val="0.34318302465712913"/>
          <c:y val="3.0075187969924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12829020766327279"/>
          <c:y val="0.14209443516530132"/>
          <c:w val="0.78220850828082433"/>
          <c:h val="0.81477858197018305"/>
        </c:manualLayout>
      </c:layout>
      <c:pie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8B-40CF-AE69-5E57159549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8B-40CF-AE69-5E57159549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8B-40CF-AE69-5E57159549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C8B-40CF-AE69-5E571595490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C8B-40CF-AE69-5E571595490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C8B-40CF-AE69-5E571595490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C8B-40CF-AE69-5E571595490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C8B-40CF-AE69-5E571595490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C8B-40CF-AE69-5E571595490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C8B-40CF-AE69-5E5715954909}"/>
              </c:ext>
            </c:extLst>
          </c:dPt>
          <c:dLbls>
            <c:dLbl>
              <c:idx val="0"/>
              <c:layout>
                <c:manualLayout>
                  <c:x val="-0.10975926952792872"/>
                  <c:y val="-8.9224657728594736E-3"/>
                </c:manualLayout>
              </c:layout>
              <c:tx>
                <c:rich>
                  <a:bodyPr/>
                  <a:lstStyle/>
                  <a:p>
                    <a:fld id="{D6D41DF8-AAF2-4B9F-8938-7C0CCD68E5DF}" type="CATEGORYNAME">
                      <a:rPr lang="en-US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[KATEGORIJAS NOSAUKUMS]</a:t>
                    </a:fld>
                    <a:r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
</a:t>
                    </a:r>
                    <a:fld id="{37B08EC3-7F8B-49F8-BEDA-B120FF8A7BFA}" type="PERCENTAGE"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[PROCENTUĀLĀ VĒRTĪBA]</a:t>
                    </a:fld>
                    <a:endParaRPr lang="en-US" baseline="0">
                      <a:solidFill>
                        <a:schemeClr val="bg1">
                          <a:lumMod val="95000"/>
                        </a:schemeClr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C8B-40CF-AE69-5E571595490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411B6D7-D294-4A6B-80D5-71DCAD20C770}" type="CATEGORYNAME">
                      <a:rPr lang="en-US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[KATEGORIJAS NOSAUKUMS]</a:t>
                    </a:fld>
                    <a:r>
                      <a:rPr lang="en-US" baseline="0"/>
                      <a:t>
</a:t>
                    </a:r>
                    <a:fld id="{3A61CED4-AD20-40A0-B998-17BDA95C8E02}" type="PERCENTAGE"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[PROCENTUĀLĀ VĒRTĪBA]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C8B-40CF-AE69-5E571595490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AAE84F9-F63F-4562-9B46-8BAFD82ACBC1}" type="CATEGORYNAME">
                      <a:rPr lang="lv-LV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[KATEGORIJAS NOSAUKUMS]</a:t>
                    </a:fld>
                    <a:r>
                      <a:rPr lang="lv-LV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
</a:t>
                    </a:r>
                    <a:fld id="{F2B289DF-236F-4736-BD14-308F01364EBC}" type="PERCENTAGE">
                      <a:rPr lang="lv-LV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[PROCENTUĀLĀ VĒRTĪBA]</a:t>
                    </a:fld>
                    <a:endParaRPr lang="lv-LV" baseline="0">
                      <a:solidFill>
                        <a:schemeClr val="bg1">
                          <a:lumMod val="95000"/>
                        </a:schemeClr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C8B-40CF-AE69-5E5715954909}"/>
                </c:ext>
              </c:extLst>
            </c:dLbl>
            <c:dLbl>
              <c:idx val="5"/>
              <c:layout>
                <c:manualLayout>
                  <c:x val="0.11076087205509182"/>
                  <c:y val="5.55612997870215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90C7905-EB91-49D7-A348-D810E26246A8}" type="CATEGORYNAME">
                      <a:rPr lang="en-US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>
                        <a:defRPr/>
                      </a:pPr>
                      <a:t>[KATEGORIJAS NOSAUKUMS]</a:t>
                    </a:fld>
                    <a:r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
</a:t>
                    </a:r>
                    <a:fld id="{2A1F54EC-3AE6-447F-9FCF-DD09DEF82BAD}" type="PERCENTAGE"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>
                        <a:defRPr/>
                      </a:pPr>
                      <a:t>[PROCENTUĀLĀ VĒRTĪBA]</a:t>
                    </a:fld>
                    <a:endParaRPr lang="en-US" baseline="0">
                      <a:solidFill>
                        <a:schemeClr val="bg1">
                          <a:lumMod val="9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11477347251646"/>
                      <c:h val="8.523007856341188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C8B-40CF-AE69-5E571595490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8A190D45-5C8D-4B08-BD53-E82A0842334D}" type="CATEGORYNAME">
                      <a:rPr lang="en-US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[KATEGORIJAS NOSAUKUMS]</a:t>
                    </a:fld>
                    <a:r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t>
</a:t>
                    </a:r>
                    <a:fld id="{231CF094-09EF-4598-96C0-EE3774319267}" type="PERCENTAGE">
                      <a:rPr lang="en-US" baseline="0">
                        <a:solidFill>
                          <a:schemeClr val="bg1">
                            <a:lumMod val="95000"/>
                          </a:schemeClr>
                        </a:solidFill>
                      </a:rPr>
                      <a:pPr/>
                      <a:t>[PROCENTUĀLĀ VĒRTĪBA]</a:t>
                    </a:fld>
                    <a:endParaRPr lang="en-US" baseline="0">
                      <a:solidFill>
                        <a:schemeClr val="bg1">
                          <a:lumMod val="95000"/>
                        </a:schemeClr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8C8B-40CF-AE69-5E5715954909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4C744108-820D-488C-9000-B5B28EDFBFFB}" type="CATEGORYNAME">
                      <a:rPr lang="lv-LV">
                        <a:solidFill>
                          <a:sysClr val="windowText" lastClr="000000"/>
                        </a:solidFill>
                      </a:rPr>
                      <a:pPr/>
                      <a:t>[KATEGORIJAS NOSAUKUMS]</a:t>
                    </a:fld>
                    <a:r>
                      <a:rPr lang="lv-LV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2256E795-C600-40A5-9019-117BAC6C440C}" type="PERCENTAGE">
                      <a:rPr lang="lv-LV" baseline="0">
                        <a:solidFill>
                          <a:sysClr val="windowText" lastClr="000000"/>
                        </a:solidFill>
                      </a:rPr>
                      <a:pPr/>
                      <a:t>[PROCENTUĀLĀ VĒRTĪBA]</a:t>
                    </a:fld>
                    <a:endParaRPr lang="lv-LV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8C8B-40CF-AE69-5E57159549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Lapa1!$B$60:$B$69</c:f>
              <c:strCache>
                <c:ptCount val="10"/>
                <c:pt idx="0">
                  <c:v>Atlīdzība</c:v>
                </c:pt>
                <c:pt idx="1">
                  <c:v>Komunālie pakalpojumi, degviela, kurināmais</c:v>
                </c:pt>
                <c:pt idx="2">
                  <c:v>Ēdināšana</c:v>
                </c:pt>
                <c:pt idx="3">
                  <c:v>Skolēnu pārvadājumi</c:v>
                </c:pt>
                <c:pt idx="4">
                  <c:v>Pārējie pakalpojumi (t.sk. ceļu uzturēšana)</c:v>
                </c:pt>
                <c:pt idx="5">
                  <c:v>Pārējie materiāli</c:v>
                </c:pt>
                <c:pt idx="6">
                  <c:v>Sociālie pabalsti, dotācijas</c:v>
                </c:pt>
                <c:pt idx="7">
                  <c:v>Transferti, nodokļi</c:v>
                </c:pt>
                <c:pt idx="8">
                  <c:v>Aizņēmumu pamatsummu atmaksa</c:v>
                </c:pt>
                <c:pt idx="9">
                  <c:v>citi izdevumi</c:v>
                </c:pt>
              </c:strCache>
            </c:strRef>
          </c:cat>
          <c:val>
            <c:numRef>
              <c:f>Lapa1!$C$60:$C$69</c:f>
              <c:numCache>
                <c:formatCode>General</c:formatCode>
                <c:ptCount val="10"/>
                <c:pt idx="0">
                  <c:v>14361072</c:v>
                </c:pt>
                <c:pt idx="1">
                  <c:v>2069911</c:v>
                </c:pt>
                <c:pt idx="2">
                  <c:v>806522</c:v>
                </c:pt>
                <c:pt idx="3">
                  <c:v>196118</c:v>
                </c:pt>
                <c:pt idx="4">
                  <c:v>3813682</c:v>
                </c:pt>
                <c:pt idx="5">
                  <c:v>1156031</c:v>
                </c:pt>
                <c:pt idx="6">
                  <c:v>1405930</c:v>
                </c:pt>
                <c:pt idx="7">
                  <c:v>501297</c:v>
                </c:pt>
                <c:pt idx="8">
                  <c:v>1503868</c:v>
                </c:pt>
                <c:pt idx="9">
                  <c:v>253594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C8B-40CF-AE69-5E57159549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6635</Words>
  <Characters>3782</Characters>
  <Application>Microsoft Office Word</Application>
  <DocSecurity>0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DinaB</cp:lastModifiedBy>
  <cp:revision>8</cp:revision>
  <cp:lastPrinted>2020-01-29T11:52:00Z</cp:lastPrinted>
  <dcterms:created xsi:type="dcterms:W3CDTF">2020-01-23T07:57:00Z</dcterms:created>
  <dcterms:modified xsi:type="dcterms:W3CDTF">2020-01-29T12:15:00Z</dcterms:modified>
</cp:coreProperties>
</file>