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D12" w:rsidRDefault="00AE4D12" w:rsidP="00187E6C">
      <w:pPr>
        <w:spacing w:line="276" w:lineRule="auto"/>
        <w:rPr>
          <w:b/>
          <w:i/>
        </w:rPr>
      </w:pPr>
    </w:p>
    <w:p w:rsidR="00AE4D12" w:rsidRPr="00FE2DE9" w:rsidRDefault="00AE4D12" w:rsidP="00AE4D12">
      <w:pPr>
        <w:spacing w:line="276" w:lineRule="auto"/>
        <w:jc w:val="center"/>
        <w:rPr>
          <w:b/>
          <w:i/>
          <w:sz w:val="28"/>
          <w:szCs w:val="28"/>
        </w:rPr>
      </w:pPr>
      <w:r w:rsidRPr="00FE2DE9">
        <w:rPr>
          <w:b/>
          <w:i/>
          <w:sz w:val="28"/>
          <w:szCs w:val="28"/>
        </w:rPr>
        <w:t>Madonas novada  Sociāl</w:t>
      </w:r>
      <w:r w:rsidR="00080D2D">
        <w:rPr>
          <w:b/>
          <w:i/>
          <w:sz w:val="28"/>
          <w:szCs w:val="28"/>
        </w:rPr>
        <w:t>ā</w:t>
      </w:r>
      <w:r w:rsidRPr="00FE2DE9">
        <w:rPr>
          <w:b/>
          <w:i/>
          <w:sz w:val="28"/>
          <w:szCs w:val="28"/>
        </w:rPr>
        <w:t xml:space="preserve"> dienest</w:t>
      </w:r>
      <w:r w:rsidR="00080D2D">
        <w:rPr>
          <w:b/>
          <w:i/>
          <w:sz w:val="28"/>
          <w:szCs w:val="28"/>
        </w:rPr>
        <w:t>a</w:t>
      </w:r>
      <w:r>
        <w:rPr>
          <w:b/>
          <w:i/>
          <w:sz w:val="28"/>
          <w:szCs w:val="28"/>
        </w:rPr>
        <w:t xml:space="preserve"> </w:t>
      </w:r>
      <w:r w:rsidRPr="00FE2DE9">
        <w:rPr>
          <w:b/>
          <w:i/>
          <w:sz w:val="28"/>
          <w:szCs w:val="28"/>
        </w:rPr>
        <w:t>pārskats 202</w:t>
      </w:r>
      <w:r w:rsidR="00B0062A">
        <w:rPr>
          <w:b/>
          <w:i/>
          <w:sz w:val="28"/>
          <w:szCs w:val="28"/>
        </w:rPr>
        <w:t>2</w:t>
      </w:r>
      <w:r w:rsidRPr="00FE2DE9">
        <w:rPr>
          <w:b/>
          <w:i/>
          <w:sz w:val="28"/>
          <w:szCs w:val="28"/>
        </w:rPr>
        <w:t>.gadā</w:t>
      </w:r>
    </w:p>
    <w:p w:rsidR="00AE4D12" w:rsidRDefault="00AE4D12" w:rsidP="00AE4D12">
      <w:pPr>
        <w:autoSpaceDE w:val="0"/>
        <w:autoSpaceDN w:val="0"/>
        <w:adjustRightInd w:val="0"/>
        <w:spacing w:after="0" w:line="240" w:lineRule="auto"/>
        <w:ind w:firstLine="720"/>
        <w:contextualSpacing/>
        <w:jc w:val="both"/>
        <w:rPr>
          <w:rFonts w:cs="Times New Roman"/>
          <w:color w:val="000000"/>
          <w:szCs w:val="24"/>
        </w:rPr>
      </w:pPr>
    </w:p>
    <w:p w:rsidR="00AE4D12" w:rsidRDefault="00AE4D12" w:rsidP="00016FD3">
      <w:pPr>
        <w:autoSpaceDE w:val="0"/>
        <w:autoSpaceDN w:val="0"/>
        <w:adjustRightInd w:val="0"/>
        <w:spacing w:after="0" w:line="240" w:lineRule="exact"/>
        <w:ind w:firstLine="720"/>
        <w:contextualSpacing/>
        <w:jc w:val="both"/>
        <w:rPr>
          <w:rFonts w:cs="Times New Roman"/>
          <w:color w:val="000000"/>
          <w:szCs w:val="24"/>
        </w:rPr>
      </w:pPr>
      <w:r>
        <w:rPr>
          <w:rFonts w:cs="Times New Roman"/>
          <w:color w:val="000000"/>
          <w:szCs w:val="24"/>
        </w:rPr>
        <w:t>Sociālā dienesta darbības mērķis ir palīdzēt novada administratīvajā teritorijā dzīvesvietu deklarējušām personām, ģimenēm un personu grupām atrisināt vai mazināt sociālās problēmas, attīstot pašas personas resursus un iesaistot atbalsta sistēmas, sniegt materiālu atbalstu krīzes situācijās nonākušām ģimenēm (personām), lai apmierinātu to pamatvajadzības un veicinātu darba spējīgo personu līdzdarbību savas situācijas uzlabošanā, veikt profesionālu sociālo darbu ar ģimenēm, kuras audzina bērnus, kā arī attīstīt un sniegt iedzīvotājiem sociālos pakalpojumus, pamatojoties uz sociālā darbinieka veiktu personas individuālo vajadzību novērtējumu.</w:t>
      </w:r>
    </w:p>
    <w:p w:rsidR="00AE4D12" w:rsidRDefault="00AE4D12" w:rsidP="00AE4D12">
      <w:pPr>
        <w:autoSpaceDE w:val="0"/>
        <w:autoSpaceDN w:val="0"/>
        <w:adjustRightInd w:val="0"/>
        <w:spacing w:after="0" w:line="240" w:lineRule="auto"/>
        <w:ind w:firstLine="720"/>
        <w:jc w:val="both"/>
        <w:rPr>
          <w:rFonts w:cs="Times New Roman"/>
          <w:color w:val="000000"/>
          <w:szCs w:val="24"/>
        </w:rPr>
      </w:pPr>
    </w:p>
    <w:p w:rsidR="00AE4D12" w:rsidRPr="00525CE0" w:rsidRDefault="00AE4D12" w:rsidP="00AE4D12">
      <w:pPr>
        <w:spacing w:line="240" w:lineRule="auto"/>
        <w:ind w:firstLine="360"/>
        <w:jc w:val="center"/>
        <w:rPr>
          <w:rFonts w:cs="Times New Roman"/>
          <w:b/>
          <w:i/>
          <w:szCs w:val="24"/>
        </w:rPr>
      </w:pPr>
      <w:r>
        <w:rPr>
          <w:rFonts w:cs="Times New Roman"/>
          <w:b/>
          <w:i/>
          <w:szCs w:val="24"/>
        </w:rPr>
        <w:t>Sociālās palīdzības raksturojums 202</w:t>
      </w:r>
      <w:r w:rsidR="00B0062A">
        <w:rPr>
          <w:rFonts w:cs="Times New Roman"/>
          <w:b/>
          <w:i/>
          <w:szCs w:val="24"/>
        </w:rPr>
        <w:t>2</w:t>
      </w:r>
      <w:r>
        <w:rPr>
          <w:rFonts w:cs="Times New Roman"/>
          <w:b/>
          <w:i/>
          <w:szCs w:val="24"/>
        </w:rPr>
        <w:t>.gadā</w:t>
      </w:r>
    </w:p>
    <w:p w:rsidR="00AE4D12" w:rsidRDefault="00AE4D12" w:rsidP="00016FD3">
      <w:pPr>
        <w:spacing w:line="240" w:lineRule="exact"/>
        <w:ind w:firstLine="360"/>
        <w:contextualSpacing/>
        <w:jc w:val="both"/>
        <w:rPr>
          <w:rFonts w:cs="Times New Roman"/>
          <w:szCs w:val="24"/>
        </w:rPr>
      </w:pPr>
      <w:r>
        <w:rPr>
          <w:rFonts w:cs="Times New Roman"/>
          <w:szCs w:val="24"/>
        </w:rPr>
        <w:t xml:space="preserve">Madonas novada vērtība ir </w:t>
      </w:r>
      <w:r>
        <w:rPr>
          <w:rFonts w:cs="Times New Roman"/>
          <w:i/>
          <w:szCs w:val="24"/>
        </w:rPr>
        <w:t>ģimenes ar bērniem.</w:t>
      </w:r>
      <w:r>
        <w:rPr>
          <w:rFonts w:cs="Times New Roman"/>
          <w:szCs w:val="24"/>
        </w:rPr>
        <w:t xml:space="preserve"> Pēc novada reformas visās novada skolās un pirmsskolas izglītības iestādēs ēdināšana ir bez maksas. Liels atbalsts tiek sniegts ģimenēm ar bērniem, piešķirot vienreizēju pabalstu bērnu  izglītībai, kas ir ne tikai trūcīgo/maznodrošināto ģimeņu bērniem, bet arī </w:t>
      </w:r>
      <w:proofErr w:type="spellStart"/>
      <w:r>
        <w:rPr>
          <w:rFonts w:cs="Times New Roman"/>
          <w:szCs w:val="24"/>
        </w:rPr>
        <w:t>daudzbērnu</w:t>
      </w:r>
      <w:proofErr w:type="spellEnd"/>
      <w:r>
        <w:rPr>
          <w:rFonts w:cs="Times New Roman"/>
          <w:szCs w:val="24"/>
        </w:rPr>
        <w:t xml:space="preserve"> ģimeņu bērniem.</w:t>
      </w:r>
    </w:p>
    <w:p w:rsidR="00AE4D12" w:rsidRDefault="00BB785F" w:rsidP="00016FD3">
      <w:pPr>
        <w:spacing w:line="240" w:lineRule="exact"/>
        <w:ind w:firstLine="357"/>
        <w:contextualSpacing/>
        <w:jc w:val="both"/>
        <w:rPr>
          <w:rFonts w:cs="Times New Roman"/>
          <w:szCs w:val="24"/>
        </w:rPr>
      </w:pPr>
      <w:r>
        <w:rPr>
          <w:rFonts w:cs="Times New Roman"/>
          <w:szCs w:val="24"/>
        </w:rPr>
        <w:t xml:space="preserve">Materiāls </w:t>
      </w:r>
      <w:r w:rsidR="00AE4D12">
        <w:rPr>
          <w:rFonts w:cs="Times New Roman"/>
          <w:szCs w:val="24"/>
        </w:rPr>
        <w:t xml:space="preserve">atbalsts tiek sniegts ģimenēm, kurās piedzimst bērniņš, dienests piešķir vienreizēju pabalstu 300 eiro apmērā. </w:t>
      </w:r>
      <w:r w:rsidR="00AD0C14">
        <w:rPr>
          <w:rFonts w:cs="Times New Roman"/>
          <w:szCs w:val="24"/>
        </w:rPr>
        <w:t>Sociālais d</w:t>
      </w:r>
      <w:r w:rsidR="00AE4D12">
        <w:rPr>
          <w:rFonts w:cs="Times New Roman"/>
          <w:szCs w:val="24"/>
        </w:rPr>
        <w:t>ienest</w:t>
      </w:r>
      <w:r w:rsidR="00AD0C14">
        <w:rPr>
          <w:rFonts w:cs="Times New Roman"/>
          <w:szCs w:val="24"/>
        </w:rPr>
        <w:t>s</w:t>
      </w:r>
      <w:r w:rsidR="00AE4D12">
        <w:rPr>
          <w:rFonts w:cs="Times New Roman"/>
          <w:szCs w:val="24"/>
        </w:rPr>
        <w:t xml:space="preserve"> piešķir un izmaksā sociālās palīdzības pabalstus, kas ir pamata pabalsti (GMI un mājokļa pabalsts), kurus nosaka normatīvie akti, kā arī citus pašvaldības iniciatīvas materiālās palīdzības pabalst</w:t>
      </w:r>
      <w:r w:rsidR="00AD0C14">
        <w:rPr>
          <w:rFonts w:cs="Times New Roman"/>
          <w:szCs w:val="24"/>
        </w:rPr>
        <w:t>us</w:t>
      </w:r>
      <w:r w:rsidR="00AE4D12">
        <w:rPr>
          <w:rFonts w:cs="Times New Roman"/>
          <w:szCs w:val="24"/>
        </w:rPr>
        <w:t xml:space="preserve">. </w:t>
      </w:r>
    </w:p>
    <w:p w:rsidR="00AE4D12" w:rsidRDefault="00AE4D12" w:rsidP="005A00DE">
      <w:pPr>
        <w:spacing w:line="240" w:lineRule="auto"/>
        <w:ind w:firstLine="357"/>
        <w:rPr>
          <w:rFonts w:cs="Times New Roman"/>
          <w:szCs w:val="24"/>
        </w:rPr>
      </w:pPr>
    </w:p>
    <w:p w:rsidR="00AE4D12" w:rsidRDefault="005A00DE" w:rsidP="005A00DE">
      <w:pPr>
        <w:spacing w:line="240" w:lineRule="auto"/>
        <w:ind w:firstLine="357"/>
        <w:jc w:val="both"/>
        <w:rPr>
          <w:rFonts w:cs="Times New Roman"/>
          <w:b/>
          <w:i/>
          <w:szCs w:val="24"/>
        </w:rPr>
      </w:pPr>
      <w:r>
        <w:rPr>
          <w:noProof/>
        </w:rPr>
        <w:drawing>
          <wp:inline distT="0" distB="0" distL="0" distR="0" wp14:anchorId="2C160928" wp14:editId="646A00D2">
            <wp:extent cx="5754313" cy="3948430"/>
            <wp:effectExtent l="0" t="0" r="18415" b="13970"/>
            <wp:docPr id="2" name="Diagramma 2">
              <a:extLst xmlns:a="http://schemas.openxmlformats.org/drawingml/2006/main">
                <a:ext uri="{FF2B5EF4-FFF2-40B4-BE49-F238E27FC236}">
                  <a16:creationId xmlns:a16="http://schemas.microsoft.com/office/drawing/2014/main" id="{D5C4CAED-6BFB-4F79-858D-4E193063D5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63499" w:rsidRDefault="00763499" w:rsidP="00AD0C14">
      <w:pPr>
        <w:spacing w:line="240" w:lineRule="auto"/>
        <w:rPr>
          <w:rFonts w:cs="Times New Roman"/>
          <w:b/>
          <w:i/>
          <w:szCs w:val="24"/>
        </w:rPr>
      </w:pPr>
    </w:p>
    <w:p w:rsidR="003F41B0" w:rsidRDefault="003F41B0" w:rsidP="00AD0C14">
      <w:pPr>
        <w:spacing w:line="240" w:lineRule="auto"/>
        <w:rPr>
          <w:rFonts w:cs="Times New Roman"/>
          <w:b/>
          <w:i/>
          <w:szCs w:val="24"/>
        </w:rPr>
      </w:pPr>
    </w:p>
    <w:p w:rsidR="003F41B0" w:rsidRDefault="003F41B0" w:rsidP="00AD0C14">
      <w:pPr>
        <w:spacing w:line="240" w:lineRule="auto"/>
        <w:rPr>
          <w:rFonts w:cs="Times New Roman"/>
          <w:b/>
          <w:i/>
          <w:szCs w:val="24"/>
        </w:rPr>
      </w:pPr>
    </w:p>
    <w:p w:rsidR="00AE4D12" w:rsidRDefault="00AE4D12" w:rsidP="00B819D6">
      <w:pPr>
        <w:spacing w:line="240" w:lineRule="auto"/>
        <w:ind w:firstLine="357"/>
        <w:jc w:val="both"/>
        <w:rPr>
          <w:rFonts w:cs="Times New Roman"/>
          <w:b/>
          <w:i/>
          <w:szCs w:val="24"/>
        </w:rPr>
      </w:pPr>
    </w:p>
    <w:p w:rsidR="00B0062A" w:rsidRDefault="00B0062A" w:rsidP="00B819D6">
      <w:pPr>
        <w:spacing w:line="240" w:lineRule="auto"/>
        <w:rPr>
          <w:rFonts w:cs="Times New Roman"/>
          <w:b/>
          <w:i/>
          <w:szCs w:val="24"/>
        </w:rPr>
      </w:pPr>
    </w:p>
    <w:p w:rsidR="00AD0C14" w:rsidRDefault="00AD0C14" w:rsidP="005A00DE">
      <w:pPr>
        <w:spacing w:line="240" w:lineRule="auto"/>
        <w:rPr>
          <w:rFonts w:cs="Times New Roman"/>
          <w:b/>
          <w:i/>
          <w:szCs w:val="24"/>
        </w:rPr>
      </w:pPr>
    </w:p>
    <w:p w:rsidR="00AE4D12" w:rsidRPr="00FC5853" w:rsidRDefault="00AE4D12" w:rsidP="00AE4D12">
      <w:pPr>
        <w:spacing w:line="240" w:lineRule="auto"/>
        <w:ind w:firstLine="357"/>
        <w:jc w:val="center"/>
        <w:rPr>
          <w:rFonts w:cs="Times New Roman"/>
          <w:b/>
          <w:i/>
          <w:sz w:val="22"/>
        </w:rPr>
      </w:pPr>
      <w:r w:rsidRPr="00FC5853">
        <w:rPr>
          <w:rFonts w:cs="Times New Roman"/>
          <w:b/>
          <w:i/>
          <w:sz w:val="22"/>
        </w:rPr>
        <w:lastRenderedPageBreak/>
        <w:t>Pārskats par sociālo palīdzību 202</w:t>
      </w:r>
      <w:r w:rsidR="00B0062A" w:rsidRPr="00FC5853">
        <w:rPr>
          <w:rFonts w:cs="Times New Roman"/>
          <w:b/>
          <w:i/>
          <w:sz w:val="22"/>
        </w:rPr>
        <w:t>2</w:t>
      </w:r>
      <w:r w:rsidRPr="00FC5853">
        <w:rPr>
          <w:rFonts w:cs="Times New Roman"/>
          <w:b/>
          <w:i/>
          <w:sz w:val="22"/>
        </w:rPr>
        <w:t>.gadā</w:t>
      </w:r>
      <w:r w:rsidR="00B346E1" w:rsidRPr="00FC5853">
        <w:rPr>
          <w:rFonts w:cs="Times New Roman"/>
          <w:b/>
          <w:i/>
          <w:sz w:val="22"/>
        </w:rPr>
        <w:t xml:space="preserve"> un salīdzinājumā ar 2021.gadu</w:t>
      </w:r>
    </w:p>
    <w:tbl>
      <w:tblPr>
        <w:tblW w:w="7366" w:type="dxa"/>
        <w:jc w:val="center"/>
        <w:tblLayout w:type="fixed"/>
        <w:tblLook w:val="04A0" w:firstRow="1" w:lastRow="0" w:firstColumn="1" w:lastColumn="0" w:noHBand="0" w:noVBand="1"/>
      </w:tblPr>
      <w:tblGrid>
        <w:gridCol w:w="704"/>
        <w:gridCol w:w="3686"/>
        <w:gridCol w:w="1559"/>
        <w:gridCol w:w="1417"/>
      </w:tblGrid>
      <w:tr w:rsidR="00B346E1" w:rsidRPr="00D013B2" w:rsidTr="00B346E1">
        <w:trPr>
          <w:trHeight w:val="840"/>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B346E1" w:rsidRPr="00C71D0A" w:rsidRDefault="00B346E1" w:rsidP="006B5480">
            <w:pPr>
              <w:jc w:val="both"/>
              <w:rPr>
                <w:sz w:val="16"/>
                <w:szCs w:val="16"/>
              </w:rPr>
            </w:pPr>
            <w:r w:rsidRPr="00C71D0A">
              <w:rPr>
                <w:sz w:val="16"/>
                <w:szCs w:val="16"/>
              </w:rPr>
              <w:t>Nr. p.</w:t>
            </w:r>
          </w:p>
          <w:p w:rsidR="00B346E1" w:rsidRPr="00C71D0A" w:rsidRDefault="00B346E1" w:rsidP="006B5480">
            <w:pPr>
              <w:jc w:val="both"/>
              <w:rPr>
                <w:sz w:val="16"/>
                <w:szCs w:val="16"/>
              </w:rPr>
            </w:pPr>
            <w:r w:rsidRPr="00C71D0A">
              <w:rPr>
                <w:sz w:val="16"/>
                <w:szCs w:val="16"/>
              </w:rPr>
              <w:t>k.</w:t>
            </w:r>
          </w:p>
        </w:tc>
        <w:tc>
          <w:tcPr>
            <w:tcW w:w="3686" w:type="dxa"/>
            <w:tcBorders>
              <w:top w:val="single" w:sz="4" w:space="0" w:color="auto"/>
              <w:left w:val="nil"/>
              <w:bottom w:val="single" w:sz="4" w:space="0" w:color="auto"/>
              <w:right w:val="single" w:sz="4" w:space="0" w:color="auto"/>
            </w:tcBorders>
            <w:shd w:val="clear" w:color="auto" w:fill="auto"/>
            <w:hideMark/>
          </w:tcPr>
          <w:p w:rsidR="00B346E1" w:rsidRPr="00C71D0A" w:rsidRDefault="00B346E1" w:rsidP="006B5480">
            <w:pPr>
              <w:jc w:val="center"/>
              <w:rPr>
                <w:sz w:val="16"/>
                <w:szCs w:val="16"/>
              </w:rPr>
            </w:pPr>
            <w:r w:rsidRPr="00C71D0A">
              <w:rPr>
                <w:sz w:val="16"/>
                <w:szCs w:val="16"/>
              </w:rPr>
              <w:t>Pabalsta mērķis</w:t>
            </w:r>
          </w:p>
        </w:tc>
        <w:tc>
          <w:tcPr>
            <w:tcW w:w="1559" w:type="dxa"/>
            <w:tcBorders>
              <w:top w:val="single" w:sz="4" w:space="0" w:color="auto"/>
              <w:left w:val="nil"/>
              <w:bottom w:val="single" w:sz="4" w:space="0" w:color="auto"/>
              <w:right w:val="single" w:sz="4" w:space="0" w:color="auto"/>
            </w:tcBorders>
            <w:shd w:val="clear" w:color="auto" w:fill="auto"/>
            <w:hideMark/>
          </w:tcPr>
          <w:p w:rsidR="00B346E1" w:rsidRPr="00C71D0A" w:rsidRDefault="00B346E1" w:rsidP="006B5480">
            <w:pPr>
              <w:jc w:val="center"/>
              <w:rPr>
                <w:b/>
                <w:sz w:val="16"/>
                <w:szCs w:val="16"/>
              </w:rPr>
            </w:pPr>
            <w:r w:rsidRPr="00C71D0A">
              <w:rPr>
                <w:b/>
                <w:sz w:val="16"/>
                <w:szCs w:val="16"/>
              </w:rPr>
              <w:t>2021.gads</w:t>
            </w:r>
          </w:p>
        </w:tc>
        <w:tc>
          <w:tcPr>
            <w:tcW w:w="1417" w:type="dxa"/>
            <w:tcBorders>
              <w:top w:val="single" w:sz="4" w:space="0" w:color="auto"/>
              <w:left w:val="nil"/>
              <w:bottom w:val="single" w:sz="4" w:space="0" w:color="auto"/>
              <w:right w:val="single" w:sz="4" w:space="0" w:color="auto"/>
            </w:tcBorders>
          </w:tcPr>
          <w:p w:rsidR="00B346E1" w:rsidRPr="00C71D0A" w:rsidRDefault="00B346E1" w:rsidP="006B5480">
            <w:pPr>
              <w:jc w:val="center"/>
              <w:rPr>
                <w:b/>
                <w:sz w:val="16"/>
                <w:szCs w:val="16"/>
              </w:rPr>
            </w:pPr>
            <w:r w:rsidRPr="00C71D0A">
              <w:rPr>
                <w:b/>
                <w:sz w:val="16"/>
                <w:szCs w:val="16"/>
              </w:rPr>
              <w:t>2022.gads</w:t>
            </w:r>
          </w:p>
        </w:tc>
      </w:tr>
      <w:tr w:rsidR="00B346E1" w:rsidRPr="00D013B2" w:rsidTr="00B346E1">
        <w:trPr>
          <w:trHeight w:val="328"/>
          <w:jc w:val="center"/>
        </w:trPr>
        <w:tc>
          <w:tcPr>
            <w:tcW w:w="704" w:type="dxa"/>
            <w:tcBorders>
              <w:top w:val="nil"/>
              <w:left w:val="single" w:sz="4" w:space="0" w:color="auto"/>
              <w:bottom w:val="single" w:sz="4" w:space="0" w:color="auto"/>
              <w:right w:val="single" w:sz="4" w:space="0" w:color="auto"/>
            </w:tcBorders>
            <w:shd w:val="clear" w:color="auto" w:fill="auto"/>
            <w:hideMark/>
          </w:tcPr>
          <w:p w:rsidR="00B346E1" w:rsidRPr="00C71D0A" w:rsidRDefault="00B346E1" w:rsidP="006B5480">
            <w:pPr>
              <w:jc w:val="both"/>
              <w:rPr>
                <w:sz w:val="16"/>
                <w:szCs w:val="16"/>
              </w:rPr>
            </w:pPr>
            <w:r w:rsidRPr="00C71D0A">
              <w:rPr>
                <w:sz w:val="16"/>
                <w:szCs w:val="16"/>
              </w:rPr>
              <w:t>1.</w:t>
            </w:r>
          </w:p>
        </w:tc>
        <w:tc>
          <w:tcPr>
            <w:tcW w:w="3686" w:type="dxa"/>
            <w:tcBorders>
              <w:top w:val="nil"/>
              <w:left w:val="nil"/>
              <w:bottom w:val="single" w:sz="4" w:space="0" w:color="auto"/>
              <w:right w:val="single" w:sz="4" w:space="0" w:color="auto"/>
            </w:tcBorders>
            <w:shd w:val="clear" w:color="auto" w:fill="auto"/>
            <w:hideMark/>
          </w:tcPr>
          <w:p w:rsidR="00B346E1" w:rsidRPr="00C71D0A" w:rsidRDefault="00B346E1" w:rsidP="006B5480">
            <w:pPr>
              <w:jc w:val="both"/>
              <w:rPr>
                <w:sz w:val="16"/>
                <w:szCs w:val="16"/>
              </w:rPr>
            </w:pPr>
            <w:r w:rsidRPr="00C71D0A">
              <w:rPr>
                <w:sz w:val="16"/>
                <w:szCs w:val="16"/>
              </w:rPr>
              <w:t>GMI pabalsts</w:t>
            </w:r>
          </w:p>
        </w:tc>
        <w:tc>
          <w:tcPr>
            <w:tcW w:w="1559" w:type="dxa"/>
            <w:tcBorders>
              <w:top w:val="nil"/>
              <w:left w:val="nil"/>
              <w:bottom w:val="single" w:sz="4" w:space="0" w:color="auto"/>
              <w:right w:val="single" w:sz="4" w:space="0" w:color="auto"/>
            </w:tcBorders>
            <w:shd w:val="clear" w:color="auto" w:fill="auto"/>
            <w:hideMark/>
          </w:tcPr>
          <w:p w:rsidR="00B346E1" w:rsidRPr="00C71D0A" w:rsidRDefault="00B346E1" w:rsidP="006B5480">
            <w:pPr>
              <w:jc w:val="center"/>
              <w:rPr>
                <w:sz w:val="16"/>
                <w:szCs w:val="16"/>
              </w:rPr>
            </w:pPr>
            <w:r w:rsidRPr="00C71D0A">
              <w:rPr>
                <w:sz w:val="16"/>
                <w:szCs w:val="16"/>
              </w:rPr>
              <w:t>243 436,04</w:t>
            </w:r>
          </w:p>
        </w:tc>
        <w:tc>
          <w:tcPr>
            <w:tcW w:w="1417" w:type="dxa"/>
            <w:tcBorders>
              <w:top w:val="nil"/>
              <w:left w:val="nil"/>
              <w:bottom w:val="single" w:sz="4" w:space="0" w:color="auto"/>
              <w:right w:val="single" w:sz="4" w:space="0" w:color="auto"/>
            </w:tcBorders>
          </w:tcPr>
          <w:p w:rsidR="00B346E1" w:rsidRPr="00C71D0A" w:rsidRDefault="00D34A8E" w:rsidP="006B5480">
            <w:pPr>
              <w:jc w:val="center"/>
              <w:rPr>
                <w:sz w:val="16"/>
                <w:szCs w:val="16"/>
              </w:rPr>
            </w:pPr>
            <w:r w:rsidRPr="00C71D0A">
              <w:rPr>
                <w:sz w:val="16"/>
                <w:szCs w:val="16"/>
              </w:rPr>
              <w:t>220 669,27</w:t>
            </w:r>
          </w:p>
        </w:tc>
      </w:tr>
      <w:tr w:rsidR="00B346E1" w:rsidRPr="00D013B2" w:rsidTr="00B346E1">
        <w:trPr>
          <w:trHeight w:val="300"/>
          <w:jc w:val="center"/>
        </w:trPr>
        <w:tc>
          <w:tcPr>
            <w:tcW w:w="704" w:type="dxa"/>
            <w:tcBorders>
              <w:top w:val="nil"/>
              <w:left w:val="single" w:sz="4" w:space="0" w:color="auto"/>
              <w:bottom w:val="single" w:sz="4" w:space="0" w:color="auto"/>
              <w:right w:val="single" w:sz="4" w:space="0" w:color="auto"/>
            </w:tcBorders>
            <w:shd w:val="clear" w:color="auto" w:fill="auto"/>
            <w:hideMark/>
          </w:tcPr>
          <w:p w:rsidR="00B346E1" w:rsidRPr="00C71D0A" w:rsidRDefault="00B346E1" w:rsidP="006B5480">
            <w:pPr>
              <w:jc w:val="both"/>
              <w:rPr>
                <w:sz w:val="16"/>
                <w:szCs w:val="16"/>
              </w:rPr>
            </w:pPr>
            <w:r w:rsidRPr="00C71D0A">
              <w:rPr>
                <w:sz w:val="16"/>
                <w:szCs w:val="16"/>
              </w:rPr>
              <w:t>2.</w:t>
            </w:r>
          </w:p>
        </w:tc>
        <w:tc>
          <w:tcPr>
            <w:tcW w:w="3686" w:type="dxa"/>
            <w:tcBorders>
              <w:top w:val="nil"/>
              <w:left w:val="nil"/>
              <w:bottom w:val="single" w:sz="4" w:space="0" w:color="auto"/>
              <w:right w:val="single" w:sz="4" w:space="0" w:color="auto"/>
            </w:tcBorders>
            <w:shd w:val="clear" w:color="auto" w:fill="auto"/>
            <w:hideMark/>
          </w:tcPr>
          <w:p w:rsidR="00B346E1" w:rsidRPr="00C71D0A" w:rsidRDefault="00B346E1" w:rsidP="006B5480">
            <w:pPr>
              <w:jc w:val="both"/>
              <w:rPr>
                <w:sz w:val="16"/>
                <w:szCs w:val="16"/>
              </w:rPr>
            </w:pPr>
            <w:r w:rsidRPr="00C71D0A">
              <w:rPr>
                <w:sz w:val="16"/>
                <w:szCs w:val="16"/>
              </w:rPr>
              <w:t>Mājokļa (dzīvokļa) pabalsts</w:t>
            </w:r>
          </w:p>
        </w:tc>
        <w:tc>
          <w:tcPr>
            <w:tcW w:w="1559" w:type="dxa"/>
            <w:tcBorders>
              <w:top w:val="nil"/>
              <w:left w:val="nil"/>
              <w:bottom w:val="single" w:sz="4" w:space="0" w:color="auto"/>
              <w:right w:val="single" w:sz="4" w:space="0" w:color="auto"/>
            </w:tcBorders>
            <w:shd w:val="clear" w:color="auto" w:fill="auto"/>
            <w:hideMark/>
          </w:tcPr>
          <w:p w:rsidR="00B346E1" w:rsidRPr="00C71D0A" w:rsidRDefault="00B346E1" w:rsidP="006B5480">
            <w:pPr>
              <w:jc w:val="center"/>
              <w:rPr>
                <w:sz w:val="16"/>
                <w:szCs w:val="16"/>
              </w:rPr>
            </w:pPr>
            <w:r w:rsidRPr="00C71D0A">
              <w:rPr>
                <w:sz w:val="16"/>
                <w:szCs w:val="16"/>
              </w:rPr>
              <w:t>217 961,75</w:t>
            </w:r>
          </w:p>
        </w:tc>
        <w:tc>
          <w:tcPr>
            <w:tcW w:w="1417" w:type="dxa"/>
            <w:tcBorders>
              <w:top w:val="nil"/>
              <w:left w:val="nil"/>
              <w:bottom w:val="single" w:sz="4" w:space="0" w:color="auto"/>
              <w:right w:val="single" w:sz="4" w:space="0" w:color="auto"/>
            </w:tcBorders>
          </w:tcPr>
          <w:p w:rsidR="00B346E1" w:rsidRPr="00C71D0A" w:rsidRDefault="00D34A8E" w:rsidP="006B5480">
            <w:pPr>
              <w:jc w:val="center"/>
              <w:rPr>
                <w:sz w:val="16"/>
                <w:szCs w:val="16"/>
              </w:rPr>
            </w:pPr>
            <w:r w:rsidRPr="00C71D0A">
              <w:rPr>
                <w:sz w:val="16"/>
                <w:szCs w:val="16"/>
              </w:rPr>
              <w:t>329 103,38</w:t>
            </w:r>
          </w:p>
        </w:tc>
      </w:tr>
      <w:tr w:rsidR="00B346E1" w:rsidRPr="00D013B2" w:rsidTr="00B346E1">
        <w:trPr>
          <w:trHeight w:val="351"/>
          <w:jc w:val="center"/>
        </w:trPr>
        <w:tc>
          <w:tcPr>
            <w:tcW w:w="704" w:type="dxa"/>
            <w:tcBorders>
              <w:top w:val="nil"/>
              <w:left w:val="single" w:sz="4" w:space="0" w:color="auto"/>
              <w:bottom w:val="single" w:sz="4" w:space="0" w:color="auto"/>
              <w:right w:val="single" w:sz="4" w:space="0" w:color="auto"/>
            </w:tcBorders>
            <w:shd w:val="clear" w:color="auto" w:fill="auto"/>
          </w:tcPr>
          <w:p w:rsidR="00B346E1" w:rsidRPr="00C71D0A" w:rsidRDefault="00B346E1" w:rsidP="006B5480">
            <w:pPr>
              <w:jc w:val="both"/>
              <w:rPr>
                <w:sz w:val="16"/>
                <w:szCs w:val="16"/>
              </w:rPr>
            </w:pPr>
            <w:r w:rsidRPr="00C71D0A">
              <w:rPr>
                <w:sz w:val="16"/>
                <w:szCs w:val="16"/>
              </w:rPr>
              <w:t>3.</w:t>
            </w:r>
          </w:p>
        </w:tc>
        <w:tc>
          <w:tcPr>
            <w:tcW w:w="3686" w:type="dxa"/>
            <w:tcBorders>
              <w:top w:val="nil"/>
              <w:left w:val="nil"/>
              <w:bottom w:val="single" w:sz="4" w:space="0" w:color="auto"/>
              <w:right w:val="single" w:sz="4" w:space="0" w:color="auto"/>
            </w:tcBorders>
            <w:shd w:val="clear" w:color="auto" w:fill="auto"/>
          </w:tcPr>
          <w:p w:rsidR="00B346E1" w:rsidRPr="00C71D0A" w:rsidRDefault="00B346E1" w:rsidP="006B5480">
            <w:pPr>
              <w:jc w:val="both"/>
              <w:rPr>
                <w:sz w:val="16"/>
                <w:szCs w:val="16"/>
              </w:rPr>
            </w:pPr>
            <w:r w:rsidRPr="00C71D0A">
              <w:rPr>
                <w:sz w:val="16"/>
                <w:szCs w:val="16"/>
              </w:rPr>
              <w:t>Pabalsts veselības aprūpes pakalpojumu apmaksai</w:t>
            </w:r>
          </w:p>
        </w:tc>
        <w:tc>
          <w:tcPr>
            <w:tcW w:w="1559" w:type="dxa"/>
            <w:tcBorders>
              <w:top w:val="nil"/>
              <w:left w:val="nil"/>
              <w:bottom w:val="single" w:sz="4" w:space="0" w:color="auto"/>
              <w:right w:val="single" w:sz="4" w:space="0" w:color="auto"/>
            </w:tcBorders>
            <w:shd w:val="clear" w:color="auto" w:fill="auto"/>
          </w:tcPr>
          <w:p w:rsidR="00B346E1" w:rsidRPr="00C71D0A" w:rsidRDefault="00B346E1" w:rsidP="006B5480">
            <w:pPr>
              <w:jc w:val="center"/>
              <w:rPr>
                <w:sz w:val="16"/>
                <w:szCs w:val="16"/>
              </w:rPr>
            </w:pPr>
            <w:r w:rsidRPr="00C71D0A">
              <w:rPr>
                <w:sz w:val="16"/>
                <w:szCs w:val="16"/>
              </w:rPr>
              <w:t>129 012,61</w:t>
            </w:r>
          </w:p>
        </w:tc>
        <w:tc>
          <w:tcPr>
            <w:tcW w:w="1417" w:type="dxa"/>
            <w:tcBorders>
              <w:top w:val="nil"/>
              <w:left w:val="nil"/>
              <w:bottom w:val="single" w:sz="4" w:space="0" w:color="auto"/>
              <w:right w:val="single" w:sz="4" w:space="0" w:color="auto"/>
            </w:tcBorders>
          </w:tcPr>
          <w:p w:rsidR="00B346E1" w:rsidRPr="00C71D0A" w:rsidRDefault="00CC18D7" w:rsidP="006B5480">
            <w:pPr>
              <w:jc w:val="center"/>
              <w:rPr>
                <w:sz w:val="16"/>
                <w:szCs w:val="16"/>
              </w:rPr>
            </w:pPr>
            <w:r w:rsidRPr="00C71D0A">
              <w:rPr>
                <w:sz w:val="16"/>
                <w:szCs w:val="16"/>
              </w:rPr>
              <w:t>75 120,33</w:t>
            </w:r>
          </w:p>
        </w:tc>
      </w:tr>
      <w:tr w:rsidR="00B346E1" w:rsidRPr="00D013B2" w:rsidTr="00B346E1">
        <w:trPr>
          <w:trHeight w:val="300"/>
          <w:jc w:val="center"/>
        </w:trPr>
        <w:tc>
          <w:tcPr>
            <w:tcW w:w="704" w:type="dxa"/>
            <w:tcBorders>
              <w:top w:val="nil"/>
              <w:left w:val="single" w:sz="4" w:space="0" w:color="auto"/>
              <w:bottom w:val="single" w:sz="4" w:space="0" w:color="auto"/>
              <w:right w:val="single" w:sz="4" w:space="0" w:color="auto"/>
            </w:tcBorders>
            <w:shd w:val="clear" w:color="auto" w:fill="auto"/>
          </w:tcPr>
          <w:p w:rsidR="00B346E1" w:rsidRPr="00C71D0A" w:rsidRDefault="00B346E1" w:rsidP="006B5480">
            <w:pPr>
              <w:jc w:val="both"/>
              <w:rPr>
                <w:sz w:val="16"/>
                <w:szCs w:val="16"/>
              </w:rPr>
            </w:pPr>
            <w:r w:rsidRPr="00C71D0A">
              <w:rPr>
                <w:sz w:val="16"/>
                <w:szCs w:val="16"/>
              </w:rPr>
              <w:t>4.</w:t>
            </w:r>
          </w:p>
        </w:tc>
        <w:tc>
          <w:tcPr>
            <w:tcW w:w="3686" w:type="dxa"/>
            <w:tcBorders>
              <w:top w:val="nil"/>
              <w:left w:val="nil"/>
              <w:bottom w:val="single" w:sz="4" w:space="0" w:color="auto"/>
              <w:right w:val="single" w:sz="4" w:space="0" w:color="auto"/>
            </w:tcBorders>
            <w:shd w:val="clear" w:color="auto" w:fill="auto"/>
          </w:tcPr>
          <w:p w:rsidR="00B346E1" w:rsidRPr="00C71D0A" w:rsidRDefault="00B346E1" w:rsidP="006B5480">
            <w:pPr>
              <w:jc w:val="both"/>
              <w:rPr>
                <w:sz w:val="16"/>
                <w:szCs w:val="16"/>
              </w:rPr>
            </w:pPr>
            <w:r w:rsidRPr="00C71D0A">
              <w:rPr>
                <w:sz w:val="16"/>
                <w:szCs w:val="16"/>
              </w:rPr>
              <w:t>Pabalsts mācību grāmatām, kancelejas precēm</w:t>
            </w:r>
          </w:p>
        </w:tc>
        <w:tc>
          <w:tcPr>
            <w:tcW w:w="1559" w:type="dxa"/>
            <w:tcBorders>
              <w:top w:val="nil"/>
              <w:left w:val="nil"/>
              <w:bottom w:val="single" w:sz="4" w:space="0" w:color="auto"/>
              <w:right w:val="single" w:sz="4" w:space="0" w:color="auto"/>
            </w:tcBorders>
            <w:shd w:val="clear" w:color="auto" w:fill="auto"/>
          </w:tcPr>
          <w:p w:rsidR="00B346E1" w:rsidRPr="00C71D0A" w:rsidRDefault="00B346E1" w:rsidP="006B5480">
            <w:pPr>
              <w:jc w:val="center"/>
              <w:rPr>
                <w:sz w:val="16"/>
                <w:szCs w:val="16"/>
              </w:rPr>
            </w:pPr>
            <w:r w:rsidRPr="00C71D0A">
              <w:rPr>
                <w:sz w:val="16"/>
                <w:szCs w:val="16"/>
              </w:rPr>
              <w:t>18 035,00</w:t>
            </w:r>
          </w:p>
        </w:tc>
        <w:tc>
          <w:tcPr>
            <w:tcW w:w="1417" w:type="dxa"/>
            <w:tcBorders>
              <w:top w:val="nil"/>
              <w:left w:val="nil"/>
              <w:bottom w:val="single" w:sz="4" w:space="0" w:color="auto"/>
              <w:right w:val="single" w:sz="4" w:space="0" w:color="auto"/>
            </w:tcBorders>
          </w:tcPr>
          <w:p w:rsidR="00B346E1" w:rsidRPr="00C71D0A" w:rsidRDefault="00E42A6B" w:rsidP="006B5480">
            <w:pPr>
              <w:jc w:val="center"/>
              <w:rPr>
                <w:sz w:val="16"/>
                <w:szCs w:val="16"/>
              </w:rPr>
            </w:pPr>
            <w:r w:rsidRPr="00C71D0A">
              <w:rPr>
                <w:sz w:val="16"/>
                <w:szCs w:val="16"/>
              </w:rPr>
              <w:t>11 400,00</w:t>
            </w:r>
          </w:p>
        </w:tc>
      </w:tr>
      <w:tr w:rsidR="00F02F9F" w:rsidRPr="00D013B2" w:rsidTr="00B346E1">
        <w:trPr>
          <w:trHeight w:val="300"/>
          <w:jc w:val="center"/>
        </w:trPr>
        <w:tc>
          <w:tcPr>
            <w:tcW w:w="704" w:type="dxa"/>
            <w:tcBorders>
              <w:top w:val="nil"/>
              <w:left w:val="single" w:sz="4" w:space="0" w:color="auto"/>
              <w:bottom w:val="single" w:sz="4" w:space="0" w:color="auto"/>
              <w:right w:val="single" w:sz="4" w:space="0" w:color="auto"/>
            </w:tcBorders>
            <w:shd w:val="clear" w:color="auto" w:fill="auto"/>
          </w:tcPr>
          <w:p w:rsidR="00F02F9F" w:rsidRPr="00C71D0A" w:rsidRDefault="00F02F9F" w:rsidP="00F02F9F">
            <w:pPr>
              <w:jc w:val="both"/>
              <w:rPr>
                <w:sz w:val="16"/>
                <w:szCs w:val="16"/>
              </w:rPr>
            </w:pPr>
            <w:r w:rsidRPr="00C71D0A">
              <w:rPr>
                <w:sz w:val="16"/>
                <w:szCs w:val="16"/>
              </w:rPr>
              <w:t>5.</w:t>
            </w:r>
          </w:p>
        </w:tc>
        <w:tc>
          <w:tcPr>
            <w:tcW w:w="3686" w:type="dxa"/>
            <w:tcBorders>
              <w:top w:val="nil"/>
              <w:left w:val="nil"/>
              <w:bottom w:val="single" w:sz="4" w:space="0" w:color="auto"/>
              <w:right w:val="single" w:sz="4" w:space="0" w:color="auto"/>
            </w:tcBorders>
            <w:shd w:val="clear" w:color="auto" w:fill="auto"/>
          </w:tcPr>
          <w:p w:rsidR="00F02F9F" w:rsidRPr="00C71D0A" w:rsidRDefault="00F02F9F" w:rsidP="00F02F9F">
            <w:pPr>
              <w:jc w:val="both"/>
              <w:rPr>
                <w:sz w:val="16"/>
                <w:szCs w:val="16"/>
              </w:rPr>
            </w:pPr>
            <w:r w:rsidRPr="00C71D0A">
              <w:rPr>
                <w:sz w:val="16"/>
                <w:szCs w:val="16"/>
              </w:rPr>
              <w:t>Pabalsts bērna izglītībai bez izvērtēšanas (</w:t>
            </w:r>
            <w:proofErr w:type="spellStart"/>
            <w:r w:rsidRPr="00C71D0A">
              <w:rPr>
                <w:sz w:val="16"/>
                <w:szCs w:val="16"/>
              </w:rPr>
              <w:t>daudzbērnu</w:t>
            </w:r>
            <w:proofErr w:type="spellEnd"/>
            <w:r w:rsidRPr="00C71D0A">
              <w:rPr>
                <w:sz w:val="16"/>
                <w:szCs w:val="16"/>
              </w:rPr>
              <w:t xml:space="preserve"> ģimenēm)</w:t>
            </w:r>
          </w:p>
        </w:tc>
        <w:tc>
          <w:tcPr>
            <w:tcW w:w="1559" w:type="dxa"/>
            <w:tcBorders>
              <w:top w:val="nil"/>
              <w:left w:val="nil"/>
              <w:bottom w:val="single" w:sz="4" w:space="0" w:color="auto"/>
              <w:right w:val="single" w:sz="4" w:space="0" w:color="auto"/>
            </w:tcBorders>
            <w:shd w:val="clear" w:color="auto" w:fill="auto"/>
          </w:tcPr>
          <w:p w:rsidR="00F02F9F" w:rsidRPr="00C71D0A" w:rsidRDefault="00F02F9F" w:rsidP="00F02F9F">
            <w:pPr>
              <w:jc w:val="center"/>
              <w:rPr>
                <w:sz w:val="16"/>
                <w:szCs w:val="16"/>
              </w:rPr>
            </w:pPr>
            <w:r w:rsidRPr="00C71D0A">
              <w:rPr>
                <w:sz w:val="16"/>
                <w:szCs w:val="16"/>
              </w:rPr>
              <w:t>23 670,00</w:t>
            </w:r>
          </w:p>
        </w:tc>
        <w:tc>
          <w:tcPr>
            <w:tcW w:w="1417" w:type="dxa"/>
            <w:tcBorders>
              <w:top w:val="nil"/>
              <w:left w:val="nil"/>
              <w:bottom w:val="single" w:sz="4" w:space="0" w:color="auto"/>
              <w:right w:val="single" w:sz="4" w:space="0" w:color="auto"/>
            </w:tcBorders>
          </w:tcPr>
          <w:p w:rsidR="00F02F9F" w:rsidRPr="00C71D0A" w:rsidRDefault="00F02F9F" w:rsidP="00F02F9F">
            <w:pPr>
              <w:jc w:val="center"/>
              <w:rPr>
                <w:sz w:val="16"/>
                <w:szCs w:val="16"/>
              </w:rPr>
            </w:pPr>
            <w:r w:rsidRPr="00C71D0A">
              <w:rPr>
                <w:sz w:val="16"/>
                <w:szCs w:val="16"/>
              </w:rPr>
              <w:t>33 075,00</w:t>
            </w:r>
          </w:p>
        </w:tc>
      </w:tr>
      <w:tr w:rsidR="00F02F9F" w:rsidRPr="00D013B2" w:rsidTr="00B346E1">
        <w:trPr>
          <w:trHeight w:val="556"/>
          <w:jc w:val="center"/>
        </w:trPr>
        <w:tc>
          <w:tcPr>
            <w:tcW w:w="704" w:type="dxa"/>
            <w:tcBorders>
              <w:top w:val="nil"/>
              <w:left w:val="single" w:sz="4" w:space="0" w:color="auto"/>
              <w:bottom w:val="single" w:sz="4" w:space="0" w:color="auto"/>
              <w:right w:val="single" w:sz="4" w:space="0" w:color="auto"/>
            </w:tcBorders>
            <w:shd w:val="clear" w:color="auto" w:fill="auto"/>
          </w:tcPr>
          <w:p w:rsidR="00F02F9F" w:rsidRPr="00C71D0A" w:rsidRDefault="00F02F9F" w:rsidP="00F02F9F">
            <w:pPr>
              <w:jc w:val="both"/>
              <w:rPr>
                <w:sz w:val="16"/>
                <w:szCs w:val="16"/>
              </w:rPr>
            </w:pPr>
            <w:r w:rsidRPr="00C71D0A">
              <w:rPr>
                <w:sz w:val="16"/>
                <w:szCs w:val="16"/>
              </w:rPr>
              <w:t>6.</w:t>
            </w:r>
          </w:p>
        </w:tc>
        <w:tc>
          <w:tcPr>
            <w:tcW w:w="3686" w:type="dxa"/>
            <w:tcBorders>
              <w:top w:val="nil"/>
              <w:left w:val="nil"/>
              <w:bottom w:val="single" w:sz="4" w:space="0" w:color="auto"/>
              <w:right w:val="single" w:sz="4" w:space="0" w:color="auto"/>
            </w:tcBorders>
            <w:shd w:val="clear" w:color="auto" w:fill="auto"/>
          </w:tcPr>
          <w:p w:rsidR="00F02F9F" w:rsidRPr="00C71D0A" w:rsidRDefault="00F02F9F" w:rsidP="00F02F9F">
            <w:pPr>
              <w:jc w:val="both"/>
              <w:rPr>
                <w:sz w:val="16"/>
                <w:szCs w:val="16"/>
              </w:rPr>
            </w:pPr>
            <w:r w:rsidRPr="00C71D0A">
              <w:rPr>
                <w:sz w:val="16"/>
                <w:szCs w:val="16"/>
              </w:rPr>
              <w:t>Pabalsts bāreņiem un bez vecāku gādības palikušiem bērniem pēc pilngadības sasniegšanas</w:t>
            </w:r>
          </w:p>
        </w:tc>
        <w:tc>
          <w:tcPr>
            <w:tcW w:w="1559" w:type="dxa"/>
            <w:tcBorders>
              <w:top w:val="nil"/>
              <w:left w:val="nil"/>
              <w:bottom w:val="single" w:sz="4" w:space="0" w:color="auto"/>
              <w:right w:val="single" w:sz="4" w:space="0" w:color="auto"/>
            </w:tcBorders>
            <w:shd w:val="clear" w:color="auto" w:fill="auto"/>
          </w:tcPr>
          <w:p w:rsidR="00F02F9F" w:rsidRPr="00C71D0A" w:rsidRDefault="00F02F9F" w:rsidP="00F02F9F">
            <w:pPr>
              <w:jc w:val="center"/>
              <w:rPr>
                <w:sz w:val="16"/>
                <w:szCs w:val="16"/>
              </w:rPr>
            </w:pPr>
            <w:r w:rsidRPr="00C71D0A">
              <w:rPr>
                <w:sz w:val="16"/>
                <w:szCs w:val="16"/>
              </w:rPr>
              <w:t>43 540,50</w:t>
            </w:r>
          </w:p>
        </w:tc>
        <w:tc>
          <w:tcPr>
            <w:tcW w:w="1417" w:type="dxa"/>
            <w:tcBorders>
              <w:top w:val="nil"/>
              <w:left w:val="nil"/>
              <w:bottom w:val="single" w:sz="4" w:space="0" w:color="auto"/>
              <w:right w:val="single" w:sz="4" w:space="0" w:color="auto"/>
            </w:tcBorders>
          </w:tcPr>
          <w:p w:rsidR="00F02F9F" w:rsidRPr="00C71D0A" w:rsidRDefault="00F02F9F" w:rsidP="00F02F9F">
            <w:pPr>
              <w:jc w:val="center"/>
              <w:rPr>
                <w:sz w:val="16"/>
                <w:szCs w:val="16"/>
              </w:rPr>
            </w:pPr>
            <w:r w:rsidRPr="00C71D0A">
              <w:rPr>
                <w:sz w:val="16"/>
                <w:szCs w:val="16"/>
              </w:rPr>
              <w:t>48 546,06</w:t>
            </w:r>
          </w:p>
        </w:tc>
      </w:tr>
      <w:tr w:rsidR="00F02F9F" w:rsidRPr="00D013B2" w:rsidTr="00B346E1">
        <w:trPr>
          <w:trHeight w:val="300"/>
          <w:jc w:val="center"/>
        </w:trPr>
        <w:tc>
          <w:tcPr>
            <w:tcW w:w="704" w:type="dxa"/>
            <w:tcBorders>
              <w:top w:val="nil"/>
              <w:left w:val="single" w:sz="4" w:space="0" w:color="auto"/>
              <w:bottom w:val="single" w:sz="4" w:space="0" w:color="auto"/>
              <w:right w:val="single" w:sz="4" w:space="0" w:color="auto"/>
            </w:tcBorders>
            <w:shd w:val="clear" w:color="auto" w:fill="auto"/>
          </w:tcPr>
          <w:p w:rsidR="00F02F9F" w:rsidRPr="00C71D0A" w:rsidRDefault="00F02F9F" w:rsidP="00F02F9F">
            <w:pPr>
              <w:jc w:val="both"/>
              <w:rPr>
                <w:sz w:val="16"/>
                <w:szCs w:val="16"/>
              </w:rPr>
            </w:pPr>
            <w:r w:rsidRPr="00C71D0A">
              <w:rPr>
                <w:sz w:val="16"/>
                <w:szCs w:val="16"/>
              </w:rPr>
              <w:t>7.</w:t>
            </w:r>
          </w:p>
        </w:tc>
        <w:tc>
          <w:tcPr>
            <w:tcW w:w="3686" w:type="dxa"/>
            <w:tcBorders>
              <w:top w:val="nil"/>
              <w:left w:val="nil"/>
              <w:bottom w:val="single" w:sz="4" w:space="0" w:color="auto"/>
              <w:right w:val="single" w:sz="4" w:space="0" w:color="auto"/>
            </w:tcBorders>
            <w:shd w:val="clear" w:color="auto" w:fill="auto"/>
          </w:tcPr>
          <w:p w:rsidR="00F02F9F" w:rsidRPr="00C71D0A" w:rsidRDefault="00F02F9F" w:rsidP="00F02F9F">
            <w:pPr>
              <w:jc w:val="both"/>
              <w:rPr>
                <w:sz w:val="16"/>
                <w:szCs w:val="16"/>
              </w:rPr>
            </w:pPr>
            <w:r w:rsidRPr="00C71D0A">
              <w:rPr>
                <w:sz w:val="16"/>
                <w:szCs w:val="16"/>
              </w:rPr>
              <w:t>Pabalsts audžuģimenēm</w:t>
            </w:r>
          </w:p>
        </w:tc>
        <w:tc>
          <w:tcPr>
            <w:tcW w:w="1559" w:type="dxa"/>
            <w:tcBorders>
              <w:top w:val="nil"/>
              <w:left w:val="nil"/>
              <w:bottom w:val="single" w:sz="4" w:space="0" w:color="auto"/>
              <w:right w:val="single" w:sz="4" w:space="0" w:color="auto"/>
            </w:tcBorders>
            <w:shd w:val="clear" w:color="auto" w:fill="auto"/>
          </w:tcPr>
          <w:p w:rsidR="00F02F9F" w:rsidRPr="00C71D0A" w:rsidRDefault="00F02F9F" w:rsidP="00F02F9F">
            <w:pPr>
              <w:jc w:val="center"/>
              <w:rPr>
                <w:sz w:val="16"/>
                <w:szCs w:val="16"/>
              </w:rPr>
            </w:pPr>
            <w:r w:rsidRPr="00C71D0A">
              <w:rPr>
                <w:sz w:val="16"/>
                <w:szCs w:val="16"/>
              </w:rPr>
              <w:t>87 127,39</w:t>
            </w:r>
          </w:p>
        </w:tc>
        <w:tc>
          <w:tcPr>
            <w:tcW w:w="1417" w:type="dxa"/>
            <w:tcBorders>
              <w:top w:val="nil"/>
              <w:left w:val="nil"/>
              <w:bottom w:val="single" w:sz="4" w:space="0" w:color="auto"/>
              <w:right w:val="single" w:sz="4" w:space="0" w:color="auto"/>
            </w:tcBorders>
          </w:tcPr>
          <w:p w:rsidR="00F02F9F" w:rsidRPr="00C71D0A" w:rsidRDefault="00F02F9F" w:rsidP="00F02F9F">
            <w:pPr>
              <w:jc w:val="center"/>
              <w:rPr>
                <w:sz w:val="16"/>
                <w:szCs w:val="16"/>
              </w:rPr>
            </w:pPr>
            <w:r w:rsidRPr="00C71D0A">
              <w:rPr>
                <w:sz w:val="16"/>
                <w:szCs w:val="16"/>
              </w:rPr>
              <w:t>87 810,18</w:t>
            </w:r>
          </w:p>
        </w:tc>
      </w:tr>
      <w:tr w:rsidR="00F02F9F" w:rsidRPr="00D013B2" w:rsidTr="00B346E1">
        <w:trPr>
          <w:trHeight w:val="319"/>
          <w:jc w:val="center"/>
        </w:trPr>
        <w:tc>
          <w:tcPr>
            <w:tcW w:w="704" w:type="dxa"/>
            <w:tcBorders>
              <w:top w:val="nil"/>
              <w:left w:val="single" w:sz="4" w:space="0" w:color="auto"/>
              <w:bottom w:val="single" w:sz="4" w:space="0" w:color="auto"/>
              <w:right w:val="single" w:sz="4" w:space="0" w:color="auto"/>
            </w:tcBorders>
            <w:shd w:val="clear" w:color="auto" w:fill="auto"/>
          </w:tcPr>
          <w:p w:rsidR="00F02F9F" w:rsidRPr="00C71D0A" w:rsidRDefault="00F02F9F" w:rsidP="00F02F9F">
            <w:pPr>
              <w:jc w:val="both"/>
              <w:rPr>
                <w:sz w:val="16"/>
                <w:szCs w:val="16"/>
              </w:rPr>
            </w:pPr>
            <w:r w:rsidRPr="00C71D0A">
              <w:rPr>
                <w:sz w:val="16"/>
                <w:szCs w:val="16"/>
              </w:rPr>
              <w:t>8.</w:t>
            </w:r>
          </w:p>
        </w:tc>
        <w:tc>
          <w:tcPr>
            <w:tcW w:w="3686" w:type="dxa"/>
            <w:tcBorders>
              <w:top w:val="nil"/>
              <w:left w:val="nil"/>
              <w:bottom w:val="single" w:sz="4" w:space="0" w:color="auto"/>
              <w:right w:val="single" w:sz="4" w:space="0" w:color="auto"/>
            </w:tcBorders>
            <w:shd w:val="clear" w:color="auto" w:fill="auto"/>
          </w:tcPr>
          <w:p w:rsidR="00F02F9F" w:rsidRPr="00C71D0A" w:rsidRDefault="00F02F9F" w:rsidP="00F02F9F">
            <w:pPr>
              <w:jc w:val="both"/>
              <w:rPr>
                <w:sz w:val="16"/>
                <w:szCs w:val="16"/>
              </w:rPr>
            </w:pPr>
            <w:r w:rsidRPr="00C71D0A">
              <w:rPr>
                <w:sz w:val="16"/>
                <w:szCs w:val="16"/>
              </w:rPr>
              <w:t>Pabalsts krīzes situācijā</w:t>
            </w:r>
          </w:p>
        </w:tc>
        <w:tc>
          <w:tcPr>
            <w:tcW w:w="1559" w:type="dxa"/>
            <w:tcBorders>
              <w:top w:val="nil"/>
              <w:left w:val="nil"/>
              <w:bottom w:val="single" w:sz="4" w:space="0" w:color="auto"/>
              <w:right w:val="single" w:sz="4" w:space="0" w:color="auto"/>
            </w:tcBorders>
            <w:shd w:val="clear" w:color="auto" w:fill="auto"/>
          </w:tcPr>
          <w:p w:rsidR="00F02F9F" w:rsidRPr="00C71D0A" w:rsidRDefault="00F02F9F" w:rsidP="00F02F9F">
            <w:pPr>
              <w:jc w:val="center"/>
              <w:rPr>
                <w:sz w:val="16"/>
                <w:szCs w:val="16"/>
              </w:rPr>
            </w:pPr>
            <w:r w:rsidRPr="00C71D0A">
              <w:rPr>
                <w:sz w:val="16"/>
                <w:szCs w:val="16"/>
              </w:rPr>
              <w:t>4940,42</w:t>
            </w:r>
          </w:p>
        </w:tc>
        <w:tc>
          <w:tcPr>
            <w:tcW w:w="1417" w:type="dxa"/>
            <w:tcBorders>
              <w:top w:val="nil"/>
              <w:left w:val="nil"/>
              <w:bottom w:val="single" w:sz="4" w:space="0" w:color="auto"/>
              <w:right w:val="single" w:sz="4" w:space="0" w:color="auto"/>
            </w:tcBorders>
          </w:tcPr>
          <w:p w:rsidR="00F02F9F" w:rsidRPr="00C71D0A" w:rsidRDefault="00F02F9F" w:rsidP="00F02F9F">
            <w:pPr>
              <w:jc w:val="center"/>
              <w:rPr>
                <w:sz w:val="16"/>
                <w:szCs w:val="16"/>
              </w:rPr>
            </w:pPr>
            <w:r w:rsidRPr="00C71D0A">
              <w:rPr>
                <w:sz w:val="16"/>
                <w:szCs w:val="16"/>
              </w:rPr>
              <w:t>5495,00</w:t>
            </w:r>
          </w:p>
        </w:tc>
      </w:tr>
      <w:tr w:rsidR="00F02F9F" w:rsidRPr="00D013B2" w:rsidTr="00B346E1">
        <w:trPr>
          <w:trHeight w:val="300"/>
          <w:jc w:val="center"/>
        </w:trPr>
        <w:tc>
          <w:tcPr>
            <w:tcW w:w="704" w:type="dxa"/>
            <w:tcBorders>
              <w:top w:val="nil"/>
              <w:left w:val="single" w:sz="4" w:space="0" w:color="auto"/>
              <w:bottom w:val="single" w:sz="4" w:space="0" w:color="auto"/>
              <w:right w:val="single" w:sz="4" w:space="0" w:color="auto"/>
            </w:tcBorders>
            <w:shd w:val="clear" w:color="auto" w:fill="auto"/>
            <w:hideMark/>
          </w:tcPr>
          <w:p w:rsidR="00F02F9F" w:rsidRPr="00C71D0A" w:rsidRDefault="00F02F9F" w:rsidP="00F02F9F">
            <w:pPr>
              <w:jc w:val="both"/>
              <w:rPr>
                <w:sz w:val="16"/>
                <w:szCs w:val="16"/>
              </w:rPr>
            </w:pPr>
            <w:r w:rsidRPr="00C71D0A">
              <w:rPr>
                <w:sz w:val="16"/>
                <w:szCs w:val="16"/>
              </w:rPr>
              <w:t>9.</w:t>
            </w:r>
          </w:p>
        </w:tc>
        <w:tc>
          <w:tcPr>
            <w:tcW w:w="3686" w:type="dxa"/>
            <w:tcBorders>
              <w:top w:val="nil"/>
              <w:left w:val="nil"/>
              <w:bottom w:val="single" w:sz="4" w:space="0" w:color="auto"/>
              <w:right w:val="single" w:sz="4" w:space="0" w:color="auto"/>
            </w:tcBorders>
            <w:shd w:val="clear" w:color="auto" w:fill="auto"/>
            <w:hideMark/>
          </w:tcPr>
          <w:p w:rsidR="00F02F9F" w:rsidRPr="00C71D0A" w:rsidRDefault="00F02F9F" w:rsidP="00F02F9F">
            <w:pPr>
              <w:jc w:val="both"/>
              <w:rPr>
                <w:sz w:val="16"/>
                <w:szCs w:val="16"/>
              </w:rPr>
            </w:pPr>
            <w:r w:rsidRPr="00C71D0A">
              <w:rPr>
                <w:sz w:val="16"/>
                <w:szCs w:val="16"/>
              </w:rPr>
              <w:t>Apbedīšanas pabalsts</w:t>
            </w:r>
          </w:p>
        </w:tc>
        <w:tc>
          <w:tcPr>
            <w:tcW w:w="1559" w:type="dxa"/>
            <w:tcBorders>
              <w:top w:val="nil"/>
              <w:left w:val="nil"/>
              <w:bottom w:val="single" w:sz="4" w:space="0" w:color="auto"/>
              <w:right w:val="single" w:sz="4" w:space="0" w:color="auto"/>
            </w:tcBorders>
            <w:shd w:val="clear" w:color="auto" w:fill="auto"/>
            <w:hideMark/>
          </w:tcPr>
          <w:p w:rsidR="00F02F9F" w:rsidRPr="00C71D0A" w:rsidRDefault="00F02F9F" w:rsidP="00F02F9F">
            <w:pPr>
              <w:jc w:val="center"/>
              <w:rPr>
                <w:sz w:val="16"/>
                <w:szCs w:val="16"/>
              </w:rPr>
            </w:pPr>
            <w:r w:rsidRPr="00C71D0A">
              <w:rPr>
                <w:sz w:val="16"/>
                <w:szCs w:val="16"/>
              </w:rPr>
              <w:t>23 412,66</w:t>
            </w:r>
          </w:p>
        </w:tc>
        <w:tc>
          <w:tcPr>
            <w:tcW w:w="1417" w:type="dxa"/>
            <w:tcBorders>
              <w:top w:val="nil"/>
              <w:left w:val="nil"/>
              <w:bottom w:val="single" w:sz="4" w:space="0" w:color="auto"/>
              <w:right w:val="single" w:sz="4" w:space="0" w:color="auto"/>
            </w:tcBorders>
          </w:tcPr>
          <w:p w:rsidR="00F02F9F" w:rsidRPr="00C71D0A" w:rsidRDefault="00F02F9F" w:rsidP="00F02F9F">
            <w:pPr>
              <w:jc w:val="center"/>
              <w:rPr>
                <w:sz w:val="16"/>
                <w:szCs w:val="16"/>
              </w:rPr>
            </w:pPr>
            <w:r w:rsidRPr="00C71D0A">
              <w:rPr>
                <w:sz w:val="16"/>
                <w:szCs w:val="16"/>
              </w:rPr>
              <w:t>31 309,04</w:t>
            </w:r>
          </w:p>
        </w:tc>
      </w:tr>
      <w:tr w:rsidR="00F02F9F" w:rsidRPr="00D013B2" w:rsidTr="00B346E1">
        <w:trPr>
          <w:trHeight w:val="300"/>
          <w:jc w:val="center"/>
        </w:trPr>
        <w:tc>
          <w:tcPr>
            <w:tcW w:w="704" w:type="dxa"/>
            <w:tcBorders>
              <w:top w:val="nil"/>
              <w:left w:val="single" w:sz="4" w:space="0" w:color="auto"/>
              <w:bottom w:val="single" w:sz="4" w:space="0" w:color="auto"/>
              <w:right w:val="single" w:sz="4" w:space="0" w:color="auto"/>
            </w:tcBorders>
            <w:shd w:val="clear" w:color="auto" w:fill="auto"/>
            <w:hideMark/>
          </w:tcPr>
          <w:p w:rsidR="00F02F9F" w:rsidRPr="00C71D0A" w:rsidRDefault="00F02F9F" w:rsidP="00F02F9F">
            <w:pPr>
              <w:jc w:val="both"/>
              <w:rPr>
                <w:sz w:val="16"/>
                <w:szCs w:val="16"/>
              </w:rPr>
            </w:pPr>
            <w:r w:rsidRPr="00C71D0A">
              <w:rPr>
                <w:sz w:val="16"/>
                <w:szCs w:val="16"/>
              </w:rPr>
              <w:t>10.</w:t>
            </w:r>
          </w:p>
        </w:tc>
        <w:tc>
          <w:tcPr>
            <w:tcW w:w="3686" w:type="dxa"/>
            <w:tcBorders>
              <w:top w:val="nil"/>
              <w:left w:val="nil"/>
              <w:bottom w:val="single" w:sz="4" w:space="0" w:color="auto"/>
              <w:right w:val="single" w:sz="4" w:space="0" w:color="auto"/>
            </w:tcBorders>
            <w:shd w:val="clear" w:color="auto" w:fill="auto"/>
            <w:hideMark/>
          </w:tcPr>
          <w:p w:rsidR="00F02F9F" w:rsidRPr="00C71D0A" w:rsidRDefault="00F02F9F" w:rsidP="00F02F9F">
            <w:pPr>
              <w:jc w:val="both"/>
              <w:rPr>
                <w:sz w:val="16"/>
                <w:szCs w:val="16"/>
              </w:rPr>
            </w:pPr>
            <w:r w:rsidRPr="00C71D0A">
              <w:rPr>
                <w:sz w:val="16"/>
                <w:szCs w:val="16"/>
              </w:rPr>
              <w:t>Pabalsts jubilejā</w:t>
            </w:r>
          </w:p>
        </w:tc>
        <w:tc>
          <w:tcPr>
            <w:tcW w:w="1559" w:type="dxa"/>
            <w:tcBorders>
              <w:top w:val="nil"/>
              <w:left w:val="nil"/>
              <w:bottom w:val="single" w:sz="4" w:space="0" w:color="auto"/>
              <w:right w:val="single" w:sz="4" w:space="0" w:color="auto"/>
            </w:tcBorders>
            <w:shd w:val="clear" w:color="auto" w:fill="auto"/>
            <w:hideMark/>
          </w:tcPr>
          <w:p w:rsidR="00F02F9F" w:rsidRPr="00C71D0A" w:rsidRDefault="00F02F9F" w:rsidP="00F02F9F">
            <w:pPr>
              <w:jc w:val="center"/>
              <w:rPr>
                <w:sz w:val="16"/>
                <w:szCs w:val="16"/>
              </w:rPr>
            </w:pPr>
            <w:r w:rsidRPr="00C71D0A">
              <w:rPr>
                <w:sz w:val="16"/>
                <w:szCs w:val="16"/>
              </w:rPr>
              <w:t>57 850,00</w:t>
            </w:r>
          </w:p>
        </w:tc>
        <w:tc>
          <w:tcPr>
            <w:tcW w:w="1417" w:type="dxa"/>
            <w:tcBorders>
              <w:top w:val="nil"/>
              <w:left w:val="nil"/>
              <w:bottom w:val="single" w:sz="4" w:space="0" w:color="auto"/>
              <w:right w:val="single" w:sz="4" w:space="0" w:color="auto"/>
            </w:tcBorders>
          </w:tcPr>
          <w:p w:rsidR="00F02F9F" w:rsidRPr="00C71D0A" w:rsidRDefault="00F02F9F" w:rsidP="00F02F9F">
            <w:pPr>
              <w:jc w:val="center"/>
              <w:rPr>
                <w:sz w:val="16"/>
                <w:szCs w:val="16"/>
              </w:rPr>
            </w:pPr>
            <w:r w:rsidRPr="00C71D0A">
              <w:rPr>
                <w:sz w:val="16"/>
                <w:szCs w:val="16"/>
              </w:rPr>
              <w:t>71 000,00</w:t>
            </w:r>
          </w:p>
        </w:tc>
      </w:tr>
      <w:tr w:rsidR="00F02F9F" w:rsidRPr="00D013B2" w:rsidTr="00B346E1">
        <w:trPr>
          <w:trHeight w:val="300"/>
          <w:jc w:val="center"/>
        </w:trPr>
        <w:tc>
          <w:tcPr>
            <w:tcW w:w="704" w:type="dxa"/>
            <w:tcBorders>
              <w:top w:val="nil"/>
              <w:left w:val="single" w:sz="4" w:space="0" w:color="auto"/>
              <w:bottom w:val="single" w:sz="4" w:space="0" w:color="auto"/>
              <w:right w:val="single" w:sz="4" w:space="0" w:color="auto"/>
            </w:tcBorders>
            <w:shd w:val="clear" w:color="auto" w:fill="auto"/>
            <w:hideMark/>
          </w:tcPr>
          <w:p w:rsidR="00F02F9F" w:rsidRPr="00C71D0A" w:rsidRDefault="00F02F9F" w:rsidP="00F02F9F">
            <w:pPr>
              <w:jc w:val="both"/>
              <w:rPr>
                <w:sz w:val="16"/>
                <w:szCs w:val="16"/>
              </w:rPr>
            </w:pPr>
            <w:r w:rsidRPr="00C71D0A">
              <w:rPr>
                <w:sz w:val="16"/>
                <w:szCs w:val="16"/>
              </w:rPr>
              <w:t>11.</w:t>
            </w:r>
          </w:p>
        </w:tc>
        <w:tc>
          <w:tcPr>
            <w:tcW w:w="3686" w:type="dxa"/>
            <w:tcBorders>
              <w:top w:val="nil"/>
              <w:left w:val="nil"/>
              <w:bottom w:val="single" w:sz="4" w:space="0" w:color="auto"/>
              <w:right w:val="single" w:sz="4" w:space="0" w:color="auto"/>
            </w:tcBorders>
            <w:shd w:val="clear" w:color="auto" w:fill="auto"/>
            <w:hideMark/>
          </w:tcPr>
          <w:p w:rsidR="00F02F9F" w:rsidRPr="00C71D0A" w:rsidRDefault="00F02F9F" w:rsidP="00F02F9F">
            <w:pPr>
              <w:jc w:val="both"/>
              <w:rPr>
                <w:sz w:val="16"/>
                <w:szCs w:val="16"/>
              </w:rPr>
            </w:pPr>
            <w:r w:rsidRPr="00C71D0A">
              <w:rPr>
                <w:sz w:val="16"/>
                <w:szCs w:val="16"/>
              </w:rPr>
              <w:t>Svētku pabalsts Černobiļas AES seku likvidēšanas dalībniekiem</w:t>
            </w:r>
          </w:p>
        </w:tc>
        <w:tc>
          <w:tcPr>
            <w:tcW w:w="1559" w:type="dxa"/>
            <w:tcBorders>
              <w:top w:val="nil"/>
              <w:left w:val="nil"/>
              <w:bottom w:val="single" w:sz="4" w:space="0" w:color="auto"/>
              <w:right w:val="single" w:sz="4" w:space="0" w:color="auto"/>
            </w:tcBorders>
            <w:shd w:val="clear" w:color="auto" w:fill="auto"/>
            <w:hideMark/>
          </w:tcPr>
          <w:p w:rsidR="00F02F9F" w:rsidRPr="00C71D0A" w:rsidRDefault="00F02F9F" w:rsidP="00F02F9F">
            <w:pPr>
              <w:jc w:val="center"/>
              <w:rPr>
                <w:sz w:val="16"/>
                <w:szCs w:val="16"/>
              </w:rPr>
            </w:pPr>
            <w:r w:rsidRPr="00C71D0A">
              <w:rPr>
                <w:sz w:val="16"/>
                <w:szCs w:val="16"/>
              </w:rPr>
              <w:t>2350,00</w:t>
            </w:r>
          </w:p>
        </w:tc>
        <w:tc>
          <w:tcPr>
            <w:tcW w:w="1417" w:type="dxa"/>
            <w:tcBorders>
              <w:top w:val="nil"/>
              <w:left w:val="nil"/>
              <w:bottom w:val="single" w:sz="4" w:space="0" w:color="auto"/>
              <w:right w:val="single" w:sz="4" w:space="0" w:color="auto"/>
            </w:tcBorders>
          </w:tcPr>
          <w:p w:rsidR="00F02F9F" w:rsidRPr="00C71D0A" w:rsidRDefault="00F02F9F" w:rsidP="00F02F9F">
            <w:pPr>
              <w:jc w:val="center"/>
              <w:rPr>
                <w:sz w:val="16"/>
                <w:szCs w:val="16"/>
              </w:rPr>
            </w:pPr>
            <w:r w:rsidRPr="00C71D0A">
              <w:rPr>
                <w:sz w:val="16"/>
                <w:szCs w:val="16"/>
              </w:rPr>
              <w:t>2450,00</w:t>
            </w:r>
          </w:p>
        </w:tc>
      </w:tr>
      <w:tr w:rsidR="00F02F9F" w:rsidRPr="00D013B2" w:rsidTr="00B346E1">
        <w:trPr>
          <w:trHeight w:val="395"/>
          <w:jc w:val="center"/>
        </w:trPr>
        <w:tc>
          <w:tcPr>
            <w:tcW w:w="704" w:type="dxa"/>
            <w:tcBorders>
              <w:top w:val="nil"/>
              <w:left w:val="single" w:sz="4" w:space="0" w:color="auto"/>
              <w:bottom w:val="single" w:sz="4" w:space="0" w:color="auto"/>
              <w:right w:val="single" w:sz="4" w:space="0" w:color="auto"/>
            </w:tcBorders>
            <w:shd w:val="clear" w:color="auto" w:fill="auto"/>
            <w:hideMark/>
          </w:tcPr>
          <w:p w:rsidR="00F02F9F" w:rsidRPr="00C71D0A" w:rsidRDefault="00F02F9F" w:rsidP="00F02F9F">
            <w:pPr>
              <w:jc w:val="both"/>
              <w:rPr>
                <w:sz w:val="16"/>
                <w:szCs w:val="16"/>
              </w:rPr>
            </w:pPr>
            <w:r w:rsidRPr="00C71D0A">
              <w:rPr>
                <w:sz w:val="16"/>
                <w:szCs w:val="16"/>
              </w:rPr>
              <w:t>12.</w:t>
            </w:r>
          </w:p>
        </w:tc>
        <w:tc>
          <w:tcPr>
            <w:tcW w:w="3686" w:type="dxa"/>
            <w:tcBorders>
              <w:top w:val="nil"/>
              <w:left w:val="nil"/>
              <w:bottom w:val="single" w:sz="4" w:space="0" w:color="auto"/>
              <w:right w:val="single" w:sz="4" w:space="0" w:color="auto"/>
            </w:tcBorders>
            <w:shd w:val="clear" w:color="auto" w:fill="auto"/>
            <w:hideMark/>
          </w:tcPr>
          <w:p w:rsidR="00F02F9F" w:rsidRPr="00C71D0A" w:rsidRDefault="00F02F9F" w:rsidP="00F02F9F">
            <w:pPr>
              <w:jc w:val="both"/>
              <w:rPr>
                <w:sz w:val="16"/>
                <w:szCs w:val="16"/>
              </w:rPr>
            </w:pPr>
            <w:r w:rsidRPr="00C71D0A">
              <w:rPr>
                <w:sz w:val="16"/>
                <w:szCs w:val="16"/>
              </w:rPr>
              <w:t>Pabalsts politiski represētiem</w:t>
            </w:r>
          </w:p>
        </w:tc>
        <w:tc>
          <w:tcPr>
            <w:tcW w:w="1559" w:type="dxa"/>
            <w:tcBorders>
              <w:top w:val="nil"/>
              <w:left w:val="nil"/>
              <w:bottom w:val="single" w:sz="4" w:space="0" w:color="auto"/>
              <w:right w:val="single" w:sz="4" w:space="0" w:color="auto"/>
            </w:tcBorders>
            <w:shd w:val="clear" w:color="auto" w:fill="auto"/>
            <w:hideMark/>
          </w:tcPr>
          <w:p w:rsidR="00F02F9F" w:rsidRPr="00C71D0A" w:rsidRDefault="00F02F9F" w:rsidP="00F02F9F">
            <w:pPr>
              <w:jc w:val="center"/>
              <w:rPr>
                <w:sz w:val="16"/>
                <w:szCs w:val="16"/>
              </w:rPr>
            </w:pPr>
            <w:r w:rsidRPr="00C71D0A">
              <w:rPr>
                <w:sz w:val="16"/>
                <w:szCs w:val="16"/>
              </w:rPr>
              <w:t>11 350,00</w:t>
            </w:r>
          </w:p>
        </w:tc>
        <w:tc>
          <w:tcPr>
            <w:tcW w:w="1417" w:type="dxa"/>
            <w:tcBorders>
              <w:top w:val="nil"/>
              <w:left w:val="nil"/>
              <w:bottom w:val="single" w:sz="4" w:space="0" w:color="auto"/>
              <w:right w:val="single" w:sz="4" w:space="0" w:color="auto"/>
            </w:tcBorders>
          </w:tcPr>
          <w:p w:rsidR="00F02F9F" w:rsidRPr="00C71D0A" w:rsidRDefault="00F02F9F" w:rsidP="00F02F9F">
            <w:pPr>
              <w:jc w:val="center"/>
              <w:rPr>
                <w:sz w:val="16"/>
                <w:szCs w:val="16"/>
              </w:rPr>
            </w:pPr>
            <w:r w:rsidRPr="00C71D0A">
              <w:rPr>
                <w:sz w:val="16"/>
                <w:szCs w:val="16"/>
              </w:rPr>
              <w:t>12 150,00</w:t>
            </w:r>
          </w:p>
        </w:tc>
      </w:tr>
      <w:tr w:rsidR="00F02F9F" w:rsidRPr="00D013B2" w:rsidTr="00B346E1">
        <w:trPr>
          <w:trHeight w:val="343"/>
          <w:jc w:val="center"/>
        </w:trPr>
        <w:tc>
          <w:tcPr>
            <w:tcW w:w="704" w:type="dxa"/>
            <w:tcBorders>
              <w:top w:val="nil"/>
              <w:left w:val="single" w:sz="4" w:space="0" w:color="auto"/>
              <w:bottom w:val="single" w:sz="4" w:space="0" w:color="auto"/>
              <w:right w:val="single" w:sz="4" w:space="0" w:color="auto"/>
            </w:tcBorders>
            <w:shd w:val="clear" w:color="auto" w:fill="auto"/>
            <w:hideMark/>
          </w:tcPr>
          <w:p w:rsidR="00F02F9F" w:rsidRPr="00C71D0A" w:rsidRDefault="00F02F9F" w:rsidP="00F02F9F">
            <w:pPr>
              <w:jc w:val="both"/>
              <w:rPr>
                <w:sz w:val="16"/>
                <w:szCs w:val="16"/>
              </w:rPr>
            </w:pPr>
            <w:r w:rsidRPr="00C71D0A">
              <w:rPr>
                <w:sz w:val="16"/>
                <w:szCs w:val="16"/>
              </w:rPr>
              <w:t>13.</w:t>
            </w:r>
          </w:p>
        </w:tc>
        <w:tc>
          <w:tcPr>
            <w:tcW w:w="3686" w:type="dxa"/>
            <w:tcBorders>
              <w:top w:val="nil"/>
              <w:left w:val="nil"/>
              <w:bottom w:val="single" w:sz="4" w:space="0" w:color="auto"/>
              <w:right w:val="single" w:sz="4" w:space="0" w:color="auto"/>
            </w:tcBorders>
            <w:shd w:val="clear" w:color="auto" w:fill="auto"/>
            <w:hideMark/>
          </w:tcPr>
          <w:p w:rsidR="00F02F9F" w:rsidRPr="00C71D0A" w:rsidRDefault="00F02F9F" w:rsidP="00F02F9F">
            <w:pPr>
              <w:jc w:val="both"/>
              <w:rPr>
                <w:sz w:val="16"/>
                <w:szCs w:val="16"/>
              </w:rPr>
            </w:pPr>
            <w:r w:rsidRPr="00C71D0A">
              <w:rPr>
                <w:sz w:val="16"/>
                <w:szCs w:val="16"/>
              </w:rPr>
              <w:t>Pabalsts jaundzimušo aprūpei</w:t>
            </w:r>
          </w:p>
        </w:tc>
        <w:tc>
          <w:tcPr>
            <w:tcW w:w="1559" w:type="dxa"/>
            <w:tcBorders>
              <w:top w:val="nil"/>
              <w:left w:val="nil"/>
              <w:bottom w:val="single" w:sz="4" w:space="0" w:color="auto"/>
              <w:right w:val="single" w:sz="4" w:space="0" w:color="auto"/>
            </w:tcBorders>
            <w:shd w:val="clear" w:color="auto" w:fill="auto"/>
            <w:hideMark/>
          </w:tcPr>
          <w:p w:rsidR="00F02F9F" w:rsidRPr="00C71D0A" w:rsidRDefault="00F02F9F" w:rsidP="00F02F9F">
            <w:pPr>
              <w:jc w:val="center"/>
              <w:rPr>
                <w:sz w:val="16"/>
                <w:szCs w:val="16"/>
              </w:rPr>
            </w:pPr>
            <w:r w:rsidRPr="00C71D0A">
              <w:rPr>
                <w:sz w:val="16"/>
                <w:szCs w:val="16"/>
              </w:rPr>
              <w:t>55 150,00</w:t>
            </w:r>
          </w:p>
        </w:tc>
        <w:tc>
          <w:tcPr>
            <w:tcW w:w="1417" w:type="dxa"/>
            <w:tcBorders>
              <w:top w:val="nil"/>
              <w:left w:val="nil"/>
              <w:bottom w:val="single" w:sz="4" w:space="0" w:color="auto"/>
              <w:right w:val="single" w:sz="4" w:space="0" w:color="auto"/>
            </w:tcBorders>
          </w:tcPr>
          <w:p w:rsidR="00F02F9F" w:rsidRPr="00C71D0A" w:rsidRDefault="00F02F9F" w:rsidP="00F02F9F">
            <w:pPr>
              <w:jc w:val="center"/>
              <w:rPr>
                <w:sz w:val="16"/>
                <w:szCs w:val="16"/>
              </w:rPr>
            </w:pPr>
            <w:r w:rsidRPr="00C71D0A">
              <w:rPr>
                <w:sz w:val="16"/>
                <w:szCs w:val="16"/>
              </w:rPr>
              <w:t>66 600,00</w:t>
            </w:r>
          </w:p>
        </w:tc>
      </w:tr>
      <w:tr w:rsidR="00F02F9F" w:rsidRPr="00D013B2" w:rsidTr="00B346E1">
        <w:trPr>
          <w:trHeight w:val="421"/>
          <w:jc w:val="center"/>
        </w:trPr>
        <w:tc>
          <w:tcPr>
            <w:tcW w:w="704" w:type="dxa"/>
            <w:tcBorders>
              <w:top w:val="nil"/>
              <w:left w:val="single" w:sz="4" w:space="0" w:color="auto"/>
              <w:bottom w:val="single" w:sz="4" w:space="0" w:color="auto"/>
              <w:right w:val="single" w:sz="4" w:space="0" w:color="auto"/>
            </w:tcBorders>
            <w:shd w:val="clear" w:color="auto" w:fill="auto"/>
          </w:tcPr>
          <w:p w:rsidR="00F02F9F" w:rsidRPr="00C71D0A" w:rsidRDefault="00F02F9F" w:rsidP="00F02F9F">
            <w:pPr>
              <w:jc w:val="both"/>
              <w:rPr>
                <w:sz w:val="16"/>
                <w:szCs w:val="16"/>
              </w:rPr>
            </w:pPr>
            <w:r w:rsidRPr="00C71D0A">
              <w:rPr>
                <w:sz w:val="16"/>
                <w:szCs w:val="16"/>
              </w:rPr>
              <w:t>14.</w:t>
            </w:r>
          </w:p>
        </w:tc>
        <w:tc>
          <w:tcPr>
            <w:tcW w:w="3686" w:type="dxa"/>
            <w:tcBorders>
              <w:top w:val="nil"/>
              <w:left w:val="nil"/>
              <w:bottom w:val="single" w:sz="4" w:space="0" w:color="auto"/>
              <w:right w:val="single" w:sz="4" w:space="0" w:color="auto"/>
            </w:tcBorders>
            <w:shd w:val="clear" w:color="auto" w:fill="auto"/>
          </w:tcPr>
          <w:p w:rsidR="00F02F9F" w:rsidRPr="00C71D0A" w:rsidRDefault="00F02F9F" w:rsidP="00F02F9F">
            <w:pPr>
              <w:jc w:val="both"/>
              <w:rPr>
                <w:sz w:val="16"/>
                <w:szCs w:val="16"/>
              </w:rPr>
            </w:pPr>
            <w:r w:rsidRPr="00C71D0A">
              <w:rPr>
                <w:sz w:val="16"/>
                <w:szCs w:val="16"/>
              </w:rPr>
              <w:t>Citi</w:t>
            </w:r>
          </w:p>
          <w:p w:rsidR="00556D07" w:rsidRPr="00C71D0A" w:rsidRDefault="00556D07" w:rsidP="00F02F9F">
            <w:pPr>
              <w:jc w:val="both"/>
              <w:rPr>
                <w:sz w:val="16"/>
                <w:szCs w:val="16"/>
              </w:rPr>
            </w:pPr>
            <w:r w:rsidRPr="00C71D0A">
              <w:rPr>
                <w:sz w:val="16"/>
                <w:szCs w:val="16"/>
              </w:rPr>
              <w:t>2021.gadā – dzīves apstākļu uzlabošanai, krīzes pabalsts Covid-19, aprūpe, dokumentu noformēšanai, aizbildņiem, svētku pabalsti, terapijas, psihologs, invalīdu aprūpei u.c..</w:t>
            </w:r>
          </w:p>
          <w:p w:rsidR="00556D07" w:rsidRPr="00C71D0A" w:rsidRDefault="00556D07" w:rsidP="00F02F9F">
            <w:pPr>
              <w:jc w:val="both"/>
              <w:rPr>
                <w:sz w:val="16"/>
                <w:szCs w:val="16"/>
              </w:rPr>
            </w:pPr>
            <w:r w:rsidRPr="00C71D0A">
              <w:rPr>
                <w:sz w:val="16"/>
                <w:szCs w:val="16"/>
              </w:rPr>
              <w:t>2022.gadā – pabalsti Ukrainas civiliedzīvotājiem</w:t>
            </w:r>
          </w:p>
        </w:tc>
        <w:tc>
          <w:tcPr>
            <w:tcW w:w="1559" w:type="dxa"/>
            <w:tcBorders>
              <w:top w:val="nil"/>
              <w:left w:val="nil"/>
              <w:bottom w:val="single" w:sz="4" w:space="0" w:color="auto"/>
              <w:right w:val="single" w:sz="4" w:space="0" w:color="auto"/>
            </w:tcBorders>
            <w:shd w:val="clear" w:color="auto" w:fill="auto"/>
          </w:tcPr>
          <w:p w:rsidR="00F02F9F" w:rsidRPr="00C71D0A" w:rsidRDefault="00F02F9F" w:rsidP="00F02F9F">
            <w:pPr>
              <w:jc w:val="center"/>
              <w:rPr>
                <w:sz w:val="16"/>
                <w:szCs w:val="16"/>
              </w:rPr>
            </w:pPr>
            <w:r w:rsidRPr="00C71D0A">
              <w:rPr>
                <w:sz w:val="16"/>
                <w:szCs w:val="16"/>
              </w:rPr>
              <w:t>85 631,48</w:t>
            </w:r>
          </w:p>
        </w:tc>
        <w:tc>
          <w:tcPr>
            <w:tcW w:w="1417" w:type="dxa"/>
            <w:tcBorders>
              <w:top w:val="nil"/>
              <w:left w:val="nil"/>
              <w:bottom w:val="single" w:sz="4" w:space="0" w:color="auto"/>
              <w:right w:val="single" w:sz="4" w:space="0" w:color="auto"/>
            </w:tcBorders>
          </w:tcPr>
          <w:p w:rsidR="00F02F9F" w:rsidRPr="00C71D0A" w:rsidRDefault="00154A81" w:rsidP="00F02F9F">
            <w:pPr>
              <w:jc w:val="center"/>
              <w:rPr>
                <w:sz w:val="16"/>
                <w:szCs w:val="16"/>
              </w:rPr>
            </w:pPr>
            <w:r w:rsidRPr="00C71D0A">
              <w:rPr>
                <w:sz w:val="16"/>
                <w:szCs w:val="16"/>
              </w:rPr>
              <w:t>132 416,48</w:t>
            </w:r>
          </w:p>
        </w:tc>
      </w:tr>
      <w:tr w:rsidR="00556D07" w:rsidRPr="00D013B2" w:rsidTr="00B346E1">
        <w:trPr>
          <w:trHeight w:val="421"/>
          <w:jc w:val="center"/>
        </w:trPr>
        <w:tc>
          <w:tcPr>
            <w:tcW w:w="704" w:type="dxa"/>
            <w:tcBorders>
              <w:top w:val="nil"/>
              <w:left w:val="single" w:sz="4" w:space="0" w:color="auto"/>
              <w:bottom w:val="single" w:sz="4" w:space="0" w:color="auto"/>
              <w:right w:val="single" w:sz="4" w:space="0" w:color="auto"/>
            </w:tcBorders>
            <w:shd w:val="clear" w:color="auto" w:fill="auto"/>
          </w:tcPr>
          <w:p w:rsidR="00556D07" w:rsidRPr="00C71D0A" w:rsidRDefault="0026108C" w:rsidP="00F02F9F">
            <w:pPr>
              <w:jc w:val="both"/>
              <w:rPr>
                <w:sz w:val="16"/>
                <w:szCs w:val="16"/>
              </w:rPr>
            </w:pPr>
            <w:r w:rsidRPr="00C71D0A">
              <w:rPr>
                <w:sz w:val="16"/>
                <w:szCs w:val="16"/>
              </w:rPr>
              <w:t>15.</w:t>
            </w:r>
          </w:p>
        </w:tc>
        <w:tc>
          <w:tcPr>
            <w:tcW w:w="3686" w:type="dxa"/>
            <w:tcBorders>
              <w:top w:val="nil"/>
              <w:left w:val="nil"/>
              <w:bottom w:val="single" w:sz="4" w:space="0" w:color="auto"/>
              <w:right w:val="single" w:sz="4" w:space="0" w:color="auto"/>
            </w:tcBorders>
            <w:shd w:val="clear" w:color="auto" w:fill="auto"/>
          </w:tcPr>
          <w:p w:rsidR="00556D07" w:rsidRPr="00C71D0A" w:rsidRDefault="00556D07" w:rsidP="00F02F9F">
            <w:pPr>
              <w:jc w:val="both"/>
              <w:rPr>
                <w:sz w:val="16"/>
                <w:szCs w:val="16"/>
              </w:rPr>
            </w:pPr>
            <w:r w:rsidRPr="00C71D0A">
              <w:rPr>
                <w:b/>
                <w:sz w:val="16"/>
                <w:szCs w:val="16"/>
              </w:rPr>
              <w:t>KOPĀ</w:t>
            </w:r>
            <w:r w:rsidR="0026108C" w:rsidRPr="00C71D0A">
              <w:rPr>
                <w:b/>
                <w:sz w:val="16"/>
                <w:szCs w:val="16"/>
              </w:rPr>
              <w:t xml:space="preserve"> pabalstos EUR</w:t>
            </w:r>
          </w:p>
        </w:tc>
        <w:tc>
          <w:tcPr>
            <w:tcW w:w="1559" w:type="dxa"/>
            <w:tcBorders>
              <w:top w:val="nil"/>
              <w:left w:val="nil"/>
              <w:bottom w:val="single" w:sz="4" w:space="0" w:color="auto"/>
              <w:right w:val="single" w:sz="4" w:space="0" w:color="auto"/>
            </w:tcBorders>
            <w:shd w:val="clear" w:color="auto" w:fill="auto"/>
          </w:tcPr>
          <w:p w:rsidR="00556D07" w:rsidRPr="00C71D0A" w:rsidRDefault="00556D07" w:rsidP="00F02F9F">
            <w:pPr>
              <w:jc w:val="center"/>
              <w:rPr>
                <w:sz w:val="16"/>
                <w:szCs w:val="16"/>
              </w:rPr>
            </w:pPr>
            <w:r w:rsidRPr="00C71D0A">
              <w:rPr>
                <w:b/>
                <w:sz w:val="16"/>
                <w:szCs w:val="16"/>
              </w:rPr>
              <w:t>1 003 457,80</w:t>
            </w:r>
          </w:p>
        </w:tc>
        <w:tc>
          <w:tcPr>
            <w:tcW w:w="1417" w:type="dxa"/>
            <w:tcBorders>
              <w:top w:val="nil"/>
              <w:left w:val="nil"/>
              <w:bottom w:val="single" w:sz="4" w:space="0" w:color="auto"/>
              <w:right w:val="single" w:sz="4" w:space="0" w:color="auto"/>
            </w:tcBorders>
          </w:tcPr>
          <w:p w:rsidR="00556D07" w:rsidRPr="00C71D0A" w:rsidRDefault="00556D07" w:rsidP="00F02F9F">
            <w:pPr>
              <w:jc w:val="center"/>
              <w:rPr>
                <w:sz w:val="16"/>
                <w:szCs w:val="16"/>
              </w:rPr>
            </w:pPr>
            <w:r w:rsidRPr="00C71D0A">
              <w:rPr>
                <w:b/>
                <w:sz w:val="16"/>
                <w:szCs w:val="16"/>
              </w:rPr>
              <w:t>1 127 144,77</w:t>
            </w:r>
          </w:p>
        </w:tc>
      </w:tr>
      <w:tr w:rsidR="00556D07" w:rsidRPr="00D013B2" w:rsidTr="00B346E1">
        <w:trPr>
          <w:trHeight w:val="421"/>
          <w:jc w:val="center"/>
        </w:trPr>
        <w:tc>
          <w:tcPr>
            <w:tcW w:w="704" w:type="dxa"/>
            <w:tcBorders>
              <w:top w:val="nil"/>
              <w:left w:val="single" w:sz="4" w:space="0" w:color="auto"/>
              <w:bottom w:val="single" w:sz="4" w:space="0" w:color="auto"/>
              <w:right w:val="single" w:sz="4" w:space="0" w:color="auto"/>
            </w:tcBorders>
            <w:shd w:val="clear" w:color="auto" w:fill="auto"/>
          </w:tcPr>
          <w:p w:rsidR="00556D07" w:rsidRPr="00C71D0A" w:rsidRDefault="0026108C" w:rsidP="00F02F9F">
            <w:pPr>
              <w:jc w:val="both"/>
              <w:rPr>
                <w:sz w:val="16"/>
                <w:szCs w:val="16"/>
              </w:rPr>
            </w:pPr>
            <w:r w:rsidRPr="00C71D0A">
              <w:rPr>
                <w:sz w:val="16"/>
                <w:szCs w:val="16"/>
              </w:rPr>
              <w:t>16.</w:t>
            </w:r>
          </w:p>
        </w:tc>
        <w:tc>
          <w:tcPr>
            <w:tcW w:w="3686" w:type="dxa"/>
            <w:tcBorders>
              <w:top w:val="nil"/>
              <w:left w:val="nil"/>
              <w:bottom w:val="single" w:sz="4" w:space="0" w:color="auto"/>
              <w:right w:val="single" w:sz="4" w:space="0" w:color="auto"/>
            </w:tcBorders>
            <w:shd w:val="clear" w:color="auto" w:fill="auto"/>
          </w:tcPr>
          <w:p w:rsidR="00556D07" w:rsidRPr="00C71D0A" w:rsidRDefault="00556D07" w:rsidP="00F02F9F">
            <w:pPr>
              <w:jc w:val="both"/>
              <w:rPr>
                <w:i/>
                <w:color w:val="0070C0"/>
                <w:sz w:val="16"/>
                <w:szCs w:val="16"/>
              </w:rPr>
            </w:pPr>
            <w:r w:rsidRPr="00C71D0A">
              <w:rPr>
                <w:i/>
                <w:color w:val="0070C0"/>
                <w:sz w:val="16"/>
                <w:szCs w:val="16"/>
              </w:rPr>
              <w:t>Energoresursu atbalsts</w:t>
            </w:r>
          </w:p>
        </w:tc>
        <w:tc>
          <w:tcPr>
            <w:tcW w:w="1559" w:type="dxa"/>
            <w:tcBorders>
              <w:top w:val="nil"/>
              <w:left w:val="nil"/>
              <w:bottom w:val="single" w:sz="4" w:space="0" w:color="auto"/>
              <w:right w:val="single" w:sz="4" w:space="0" w:color="auto"/>
            </w:tcBorders>
            <w:shd w:val="clear" w:color="auto" w:fill="auto"/>
          </w:tcPr>
          <w:p w:rsidR="00556D07" w:rsidRPr="00C71D0A" w:rsidRDefault="00556D07" w:rsidP="00F02F9F">
            <w:pPr>
              <w:jc w:val="center"/>
              <w:rPr>
                <w:i/>
                <w:color w:val="0070C0"/>
                <w:sz w:val="16"/>
                <w:szCs w:val="16"/>
              </w:rPr>
            </w:pPr>
          </w:p>
        </w:tc>
        <w:tc>
          <w:tcPr>
            <w:tcW w:w="1417" w:type="dxa"/>
            <w:tcBorders>
              <w:top w:val="nil"/>
              <w:left w:val="nil"/>
              <w:bottom w:val="single" w:sz="4" w:space="0" w:color="auto"/>
              <w:right w:val="single" w:sz="4" w:space="0" w:color="auto"/>
            </w:tcBorders>
          </w:tcPr>
          <w:p w:rsidR="00556D07" w:rsidRPr="00C71D0A" w:rsidRDefault="00556D07" w:rsidP="00F02F9F">
            <w:pPr>
              <w:jc w:val="center"/>
              <w:rPr>
                <w:i/>
                <w:color w:val="0070C0"/>
                <w:sz w:val="16"/>
                <w:szCs w:val="16"/>
              </w:rPr>
            </w:pPr>
            <w:r w:rsidRPr="00C71D0A">
              <w:rPr>
                <w:i/>
                <w:color w:val="0070C0"/>
                <w:sz w:val="16"/>
                <w:szCs w:val="16"/>
              </w:rPr>
              <w:t>374 579,33</w:t>
            </w:r>
          </w:p>
        </w:tc>
      </w:tr>
      <w:tr w:rsidR="00F02F9F" w:rsidRPr="00D013B2" w:rsidTr="00B346E1">
        <w:trPr>
          <w:trHeight w:val="480"/>
          <w:jc w:val="center"/>
        </w:trPr>
        <w:tc>
          <w:tcPr>
            <w:tcW w:w="704" w:type="dxa"/>
            <w:tcBorders>
              <w:top w:val="nil"/>
              <w:left w:val="single" w:sz="4" w:space="0" w:color="auto"/>
              <w:bottom w:val="single" w:sz="4" w:space="0" w:color="auto"/>
              <w:right w:val="single" w:sz="4" w:space="0" w:color="auto"/>
            </w:tcBorders>
            <w:shd w:val="clear" w:color="auto" w:fill="auto"/>
          </w:tcPr>
          <w:p w:rsidR="00F02F9F" w:rsidRPr="00C71D0A" w:rsidRDefault="0026108C" w:rsidP="00F02F9F">
            <w:pPr>
              <w:jc w:val="both"/>
              <w:rPr>
                <w:sz w:val="16"/>
                <w:szCs w:val="16"/>
              </w:rPr>
            </w:pPr>
            <w:r w:rsidRPr="00C71D0A">
              <w:rPr>
                <w:sz w:val="16"/>
                <w:szCs w:val="16"/>
              </w:rPr>
              <w:t>17.</w:t>
            </w:r>
          </w:p>
        </w:tc>
        <w:tc>
          <w:tcPr>
            <w:tcW w:w="3686" w:type="dxa"/>
            <w:tcBorders>
              <w:top w:val="nil"/>
              <w:left w:val="nil"/>
              <w:bottom w:val="single" w:sz="4" w:space="0" w:color="auto"/>
              <w:right w:val="single" w:sz="4" w:space="0" w:color="auto"/>
            </w:tcBorders>
            <w:shd w:val="clear" w:color="auto" w:fill="auto"/>
          </w:tcPr>
          <w:p w:rsidR="00F02F9F" w:rsidRPr="00C71D0A" w:rsidRDefault="00F02F9F" w:rsidP="00F02F9F">
            <w:pPr>
              <w:jc w:val="both"/>
              <w:rPr>
                <w:sz w:val="16"/>
                <w:szCs w:val="16"/>
              </w:rPr>
            </w:pPr>
            <w:r w:rsidRPr="00C71D0A">
              <w:rPr>
                <w:b/>
                <w:sz w:val="16"/>
                <w:szCs w:val="16"/>
              </w:rPr>
              <w:t> </w:t>
            </w:r>
            <w:r w:rsidR="00187E6C" w:rsidRPr="00C71D0A">
              <w:rPr>
                <w:b/>
                <w:color w:val="7030A0"/>
                <w:sz w:val="16"/>
                <w:szCs w:val="16"/>
              </w:rPr>
              <w:t>Kopā EUR</w:t>
            </w:r>
          </w:p>
        </w:tc>
        <w:tc>
          <w:tcPr>
            <w:tcW w:w="1559" w:type="dxa"/>
            <w:tcBorders>
              <w:top w:val="nil"/>
              <w:left w:val="nil"/>
              <w:bottom w:val="single" w:sz="4" w:space="0" w:color="auto"/>
              <w:right w:val="single" w:sz="4" w:space="0" w:color="auto"/>
            </w:tcBorders>
            <w:shd w:val="clear" w:color="auto" w:fill="auto"/>
          </w:tcPr>
          <w:p w:rsidR="00F02F9F" w:rsidRPr="00C71D0A" w:rsidRDefault="00F02F9F" w:rsidP="00F02F9F">
            <w:pPr>
              <w:jc w:val="center"/>
              <w:rPr>
                <w:b/>
                <w:sz w:val="16"/>
                <w:szCs w:val="16"/>
              </w:rPr>
            </w:pPr>
          </w:p>
        </w:tc>
        <w:tc>
          <w:tcPr>
            <w:tcW w:w="1417" w:type="dxa"/>
            <w:tcBorders>
              <w:top w:val="nil"/>
              <w:left w:val="nil"/>
              <w:bottom w:val="single" w:sz="4" w:space="0" w:color="auto"/>
              <w:right w:val="single" w:sz="4" w:space="0" w:color="auto"/>
            </w:tcBorders>
          </w:tcPr>
          <w:p w:rsidR="00F02F9F" w:rsidRPr="00C71D0A" w:rsidRDefault="00556D07" w:rsidP="00F02F9F">
            <w:pPr>
              <w:jc w:val="center"/>
              <w:rPr>
                <w:b/>
                <w:sz w:val="16"/>
                <w:szCs w:val="16"/>
              </w:rPr>
            </w:pPr>
            <w:r w:rsidRPr="00C71D0A">
              <w:rPr>
                <w:b/>
                <w:color w:val="7030A0"/>
                <w:sz w:val="16"/>
                <w:szCs w:val="16"/>
              </w:rPr>
              <w:t>1</w:t>
            </w:r>
            <w:r w:rsidR="0026108C" w:rsidRPr="00C71D0A">
              <w:rPr>
                <w:b/>
                <w:color w:val="7030A0"/>
                <w:sz w:val="16"/>
                <w:szCs w:val="16"/>
              </w:rPr>
              <w:t xml:space="preserve"> </w:t>
            </w:r>
            <w:r w:rsidRPr="00C71D0A">
              <w:rPr>
                <w:b/>
                <w:color w:val="7030A0"/>
                <w:sz w:val="16"/>
                <w:szCs w:val="16"/>
              </w:rPr>
              <w:t>50 1</w:t>
            </w:r>
            <w:r w:rsidR="0026108C" w:rsidRPr="00C71D0A">
              <w:rPr>
                <w:b/>
                <w:color w:val="7030A0"/>
                <w:sz w:val="16"/>
                <w:szCs w:val="16"/>
              </w:rPr>
              <w:t> </w:t>
            </w:r>
            <w:r w:rsidRPr="00C71D0A">
              <w:rPr>
                <w:b/>
                <w:color w:val="7030A0"/>
                <w:sz w:val="16"/>
                <w:szCs w:val="16"/>
              </w:rPr>
              <w:t>7</w:t>
            </w:r>
            <w:r w:rsidR="0026108C" w:rsidRPr="00C71D0A">
              <w:rPr>
                <w:b/>
                <w:color w:val="7030A0"/>
                <w:sz w:val="16"/>
                <w:szCs w:val="16"/>
              </w:rPr>
              <w:t>24,17</w:t>
            </w:r>
          </w:p>
        </w:tc>
      </w:tr>
    </w:tbl>
    <w:p w:rsidR="00AE4D12" w:rsidRPr="00D013B2" w:rsidRDefault="00AE4D12" w:rsidP="00AE4D12">
      <w:pPr>
        <w:rPr>
          <w:sz w:val="20"/>
          <w:szCs w:val="20"/>
        </w:rPr>
      </w:pPr>
    </w:p>
    <w:p w:rsidR="00AE4D12" w:rsidRPr="00D013B2" w:rsidRDefault="00AE4D12" w:rsidP="00AE4D12">
      <w:pPr>
        <w:ind w:left="-567"/>
        <w:rPr>
          <w:sz w:val="20"/>
          <w:szCs w:val="20"/>
        </w:rPr>
      </w:pPr>
    </w:p>
    <w:p w:rsidR="00AE4D12" w:rsidRDefault="00411903" w:rsidP="00AD0C14">
      <w:pPr>
        <w:spacing w:line="240" w:lineRule="auto"/>
        <w:ind w:firstLine="357"/>
        <w:jc w:val="center"/>
        <w:rPr>
          <w:rFonts w:cs="Times New Roman"/>
          <w:szCs w:val="24"/>
        </w:rPr>
      </w:pPr>
      <w:r>
        <w:rPr>
          <w:noProof/>
        </w:rPr>
        <w:drawing>
          <wp:inline distT="0" distB="0" distL="0" distR="0" wp14:anchorId="77CDF01D" wp14:editId="4DA887AB">
            <wp:extent cx="4872318" cy="2290483"/>
            <wp:effectExtent l="0" t="0" r="5080" b="14605"/>
            <wp:docPr id="8" name="Diagramma 8">
              <a:extLst xmlns:a="http://schemas.openxmlformats.org/drawingml/2006/main">
                <a:ext uri="{FF2B5EF4-FFF2-40B4-BE49-F238E27FC236}">
                  <a16:creationId xmlns:a16="http://schemas.microsoft.com/office/drawing/2014/main" id="{92FC647F-50AD-48CC-87A9-E1545348E9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E4D12" w:rsidRDefault="00AE4D12" w:rsidP="00AE4D12">
      <w:pPr>
        <w:spacing w:line="240" w:lineRule="auto"/>
        <w:contextualSpacing/>
        <w:jc w:val="both"/>
        <w:rPr>
          <w:b/>
        </w:rPr>
      </w:pPr>
      <w:r>
        <w:rPr>
          <w:b/>
        </w:rPr>
        <w:tab/>
      </w:r>
    </w:p>
    <w:p w:rsidR="00C71D0A" w:rsidRDefault="00C71D0A" w:rsidP="00016FD3">
      <w:pPr>
        <w:spacing w:line="240" w:lineRule="exact"/>
        <w:contextualSpacing/>
        <w:jc w:val="both"/>
      </w:pPr>
    </w:p>
    <w:p w:rsidR="00AD0C14" w:rsidRDefault="00C71AB5" w:rsidP="00016FD3">
      <w:pPr>
        <w:spacing w:line="240" w:lineRule="exact"/>
        <w:contextualSpacing/>
        <w:jc w:val="both"/>
      </w:pPr>
      <w:r>
        <w:lastRenderedPageBreak/>
        <w:t xml:space="preserve">Madonas novada Sociālais dienests ir reģistrējis </w:t>
      </w:r>
      <w:r>
        <w:t>10217 iesniegumus</w:t>
      </w:r>
      <w:r>
        <w:t xml:space="preserve"> uz sociālo palīdzību un tik pat pieņēmis lēmumus. Sagatavotas 2973 iztikas līdzekļu deklarācijas.</w:t>
      </w:r>
    </w:p>
    <w:p w:rsidR="00C71AB5" w:rsidRDefault="00C71AB5" w:rsidP="00016FD3">
      <w:pPr>
        <w:spacing w:line="240" w:lineRule="exact"/>
        <w:contextualSpacing/>
        <w:jc w:val="both"/>
      </w:pPr>
    </w:p>
    <w:p w:rsidR="00C71AB5" w:rsidRPr="00C71AB5" w:rsidRDefault="00C71AB5" w:rsidP="00C71AB5">
      <w:pPr>
        <w:spacing w:line="240" w:lineRule="auto"/>
        <w:contextualSpacing/>
        <w:jc w:val="both"/>
      </w:pPr>
    </w:p>
    <w:p w:rsidR="00AD0C14" w:rsidRDefault="00C71AB5" w:rsidP="00AE4D12">
      <w:pPr>
        <w:spacing w:line="240" w:lineRule="auto"/>
        <w:contextualSpacing/>
        <w:jc w:val="center"/>
        <w:rPr>
          <w:b/>
          <w:i/>
        </w:rPr>
      </w:pPr>
      <w:r>
        <w:rPr>
          <w:noProof/>
        </w:rPr>
        <w:drawing>
          <wp:inline distT="0" distB="0" distL="0" distR="0" wp14:anchorId="6279A429" wp14:editId="6F9B98E0">
            <wp:extent cx="5342964" cy="2599690"/>
            <wp:effectExtent l="0" t="0" r="0" b="0"/>
            <wp:docPr id="6" name="Attēls 5">
              <a:extLst xmlns:a="http://schemas.openxmlformats.org/drawingml/2006/main">
                <a:ext uri="{FF2B5EF4-FFF2-40B4-BE49-F238E27FC236}">
                  <a16:creationId xmlns:a16="http://schemas.microsoft.com/office/drawing/2014/main" id="{F8A294BF-00F3-444B-AB2C-6C715D15F8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ttēls 5">
                      <a:extLst>
                        <a:ext uri="{FF2B5EF4-FFF2-40B4-BE49-F238E27FC236}">
                          <a16:creationId xmlns:a16="http://schemas.microsoft.com/office/drawing/2014/main" id="{F8A294BF-00F3-444B-AB2C-6C715D15F8C4}"/>
                        </a:ext>
                      </a:extLst>
                    </pic:cNvPr>
                    <pic:cNvPicPr>
                      <a:picLocks noChangeAspect="1"/>
                    </pic:cNvPicPr>
                  </pic:nvPicPr>
                  <pic:blipFill>
                    <a:blip r:embed="rId8"/>
                    <a:stretch>
                      <a:fillRect/>
                    </a:stretch>
                  </pic:blipFill>
                  <pic:spPr>
                    <a:xfrm>
                      <a:off x="0" y="0"/>
                      <a:ext cx="5472996" cy="2662959"/>
                    </a:xfrm>
                    <a:prstGeom prst="rect">
                      <a:avLst/>
                    </a:prstGeom>
                  </pic:spPr>
                </pic:pic>
              </a:graphicData>
            </a:graphic>
          </wp:inline>
        </w:drawing>
      </w:r>
    </w:p>
    <w:p w:rsidR="00AD0C14" w:rsidRDefault="00AD0C14" w:rsidP="00AE4D12">
      <w:pPr>
        <w:spacing w:line="240" w:lineRule="auto"/>
        <w:contextualSpacing/>
        <w:jc w:val="center"/>
        <w:rPr>
          <w:b/>
          <w:i/>
        </w:rPr>
      </w:pPr>
    </w:p>
    <w:p w:rsidR="00AD0C14" w:rsidRDefault="00AD0C14" w:rsidP="00C71AB5">
      <w:pPr>
        <w:spacing w:line="240" w:lineRule="auto"/>
        <w:contextualSpacing/>
        <w:rPr>
          <w:b/>
          <w:i/>
        </w:rPr>
      </w:pPr>
    </w:p>
    <w:p w:rsidR="00AD0C14" w:rsidRDefault="00C71AB5" w:rsidP="00AE4D12">
      <w:pPr>
        <w:spacing w:line="240" w:lineRule="auto"/>
        <w:contextualSpacing/>
        <w:jc w:val="center"/>
        <w:rPr>
          <w:b/>
          <w:i/>
        </w:rPr>
      </w:pPr>
      <w:r>
        <w:rPr>
          <w:noProof/>
        </w:rPr>
        <w:drawing>
          <wp:inline distT="0" distB="0" distL="0" distR="0" wp14:anchorId="4B65BA71" wp14:editId="09009E87">
            <wp:extent cx="5311028" cy="2464814"/>
            <wp:effectExtent l="0" t="0" r="4445" b="0"/>
            <wp:docPr id="3" name="Attēls 1">
              <a:extLst xmlns:a="http://schemas.openxmlformats.org/drawingml/2006/main">
                <a:ext uri="{FF2B5EF4-FFF2-40B4-BE49-F238E27FC236}">
                  <a16:creationId xmlns:a16="http://schemas.microsoft.com/office/drawing/2014/main" id="{9ED4F7BD-F50E-4DB5-ABFE-EF78FF81F4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 1">
                      <a:extLst>
                        <a:ext uri="{FF2B5EF4-FFF2-40B4-BE49-F238E27FC236}">
                          <a16:creationId xmlns:a16="http://schemas.microsoft.com/office/drawing/2014/main" id="{9ED4F7BD-F50E-4DB5-ABFE-EF78FF81F464}"/>
                        </a:ext>
                      </a:extLst>
                    </pic:cNvPr>
                    <pic:cNvPicPr>
                      <a:picLocks noChangeAspect="1"/>
                    </pic:cNvPicPr>
                  </pic:nvPicPr>
                  <pic:blipFill>
                    <a:blip r:embed="rId9"/>
                    <a:stretch>
                      <a:fillRect/>
                    </a:stretch>
                  </pic:blipFill>
                  <pic:spPr>
                    <a:xfrm>
                      <a:off x="0" y="0"/>
                      <a:ext cx="5363601" cy="2489213"/>
                    </a:xfrm>
                    <a:prstGeom prst="rect">
                      <a:avLst/>
                    </a:prstGeom>
                  </pic:spPr>
                </pic:pic>
              </a:graphicData>
            </a:graphic>
          </wp:inline>
        </w:drawing>
      </w:r>
    </w:p>
    <w:p w:rsidR="005A00DE" w:rsidRDefault="005A00DE" w:rsidP="005A00DE">
      <w:pPr>
        <w:spacing w:line="240" w:lineRule="auto"/>
        <w:contextualSpacing/>
        <w:rPr>
          <w:b/>
          <w:i/>
        </w:rPr>
      </w:pPr>
    </w:p>
    <w:p w:rsidR="00C71D0A" w:rsidRDefault="00C71D0A" w:rsidP="00AE4D12">
      <w:pPr>
        <w:spacing w:line="240" w:lineRule="auto"/>
        <w:contextualSpacing/>
        <w:jc w:val="center"/>
        <w:rPr>
          <w:b/>
          <w:i/>
        </w:rPr>
      </w:pPr>
    </w:p>
    <w:p w:rsidR="00AE4D12" w:rsidRPr="006834BA" w:rsidRDefault="00AE4D12" w:rsidP="00AE4D12">
      <w:pPr>
        <w:spacing w:line="240" w:lineRule="auto"/>
        <w:contextualSpacing/>
        <w:jc w:val="center"/>
        <w:rPr>
          <w:b/>
          <w:i/>
        </w:rPr>
      </w:pPr>
      <w:r>
        <w:rPr>
          <w:b/>
          <w:i/>
        </w:rPr>
        <w:t>Sociālo pakalpojumu raksturojums 202</w:t>
      </w:r>
      <w:r w:rsidR="00B0062A">
        <w:rPr>
          <w:b/>
          <w:i/>
        </w:rPr>
        <w:t>2</w:t>
      </w:r>
      <w:r>
        <w:rPr>
          <w:b/>
          <w:i/>
        </w:rPr>
        <w:t>.gadā</w:t>
      </w:r>
    </w:p>
    <w:p w:rsidR="00AE4D12" w:rsidRDefault="00AE4D12" w:rsidP="00AE4D12">
      <w:pPr>
        <w:spacing w:line="240" w:lineRule="auto"/>
        <w:contextualSpacing/>
        <w:jc w:val="both"/>
      </w:pPr>
    </w:p>
    <w:p w:rsidR="00AE4D12" w:rsidRDefault="00AE4D12" w:rsidP="00016FD3">
      <w:pPr>
        <w:spacing w:line="240" w:lineRule="exact"/>
        <w:ind w:firstLine="720"/>
        <w:contextualSpacing/>
        <w:jc w:val="both"/>
      </w:pPr>
      <w:r>
        <w:t>Sociāl</w:t>
      </w:r>
      <w:r w:rsidR="00393E98">
        <w:t>ais</w:t>
      </w:r>
      <w:r>
        <w:t xml:space="preserve"> dienest</w:t>
      </w:r>
      <w:r w:rsidR="00AD0C14">
        <w:t>s</w:t>
      </w:r>
      <w:r>
        <w:t xml:space="preserve"> nodrošina sociālos pakalpojumus atbilstoši novada iedzīvotāju vajadzībām un saskaņā ar pašvaldības finansiālajām iespējām. </w:t>
      </w:r>
      <w:r>
        <w:rPr>
          <w:rFonts w:eastAsia="Times New Roman" w:cs="Times New Roman"/>
          <w:szCs w:val="24"/>
        </w:rPr>
        <w:t>Sociālie pakalpojumi - pasākumu kopums, kas vērsts uz to personu pamatvajadzību apmierināšanu, kurām ir objektīvas grūtības aprūpēt sevi vecuma vai funkcionālo traucējumu dēļ, un ietver sevī pakalpojumus personas dzīvesvietā un ilgstošas sociālās aprūpes institūcijās.</w:t>
      </w:r>
    </w:p>
    <w:p w:rsidR="00AE4D12" w:rsidRDefault="00AE4D12" w:rsidP="00016FD3">
      <w:pPr>
        <w:spacing w:line="240" w:lineRule="exact"/>
        <w:ind w:firstLine="720"/>
        <w:contextualSpacing/>
        <w:jc w:val="both"/>
        <w:rPr>
          <w:rFonts w:cs="Times New Roman"/>
          <w:szCs w:val="24"/>
        </w:rPr>
      </w:pPr>
      <w:r>
        <w:rPr>
          <w:rFonts w:cs="Times New Roman"/>
          <w:szCs w:val="24"/>
        </w:rPr>
        <w:t xml:space="preserve">Sociālās aprūpes un rehabilitācijas pakalpojumus institūcijā nodrošina Barkavas pansionātā, </w:t>
      </w:r>
      <w:r w:rsidR="00AD0C14">
        <w:rPr>
          <w:rFonts w:cs="Times New Roman"/>
          <w:szCs w:val="24"/>
        </w:rPr>
        <w:t xml:space="preserve">Cesvaines un </w:t>
      </w:r>
      <w:r>
        <w:rPr>
          <w:rFonts w:cs="Times New Roman"/>
          <w:szCs w:val="24"/>
        </w:rPr>
        <w:t xml:space="preserve">Dzelzavas </w:t>
      </w:r>
      <w:r w:rsidR="00AD0C14">
        <w:rPr>
          <w:rFonts w:cs="Times New Roman"/>
          <w:szCs w:val="24"/>
        </w:rPr>
        <w:t>sociālā aprūpes centrā Dzelzavas pagastā Grāveri 1 un Cesvaines un Dzelzavas sociālās aprūpes centrs struktūrvienība “Cesvaine”</w:t>
      </w:r>
      <w:r>
        <w:rPr>
          <w:rFonts w:cs="Times New Roman"/>
          <w:szCs w:val="24"/>
        </w:rPr>
        <w:t xml:space="preserve">, Ļaudonas pansionātā, Mārcienas </w:t>
      </w:r>
      <w:r w:rsidR="00AD0C14">
        <w:rPr>
          <w:rFonts w:cs="Times New Roman"/>
          <w:szCs w:val="24"/>
        </w:rPr>
        <w:t>sociālās aprūpes centrā</w:t>
      </w:r>
      <w:r>
        <w:rPr>
          <w:rFonts w:cs="Times New Roman"/>
          <w:szCs w:val="24"/>
        </w:rPr>
        <w:t xml:space="preserve">, Ērgļu sociālās aprūpes centrs ar divām atrašanās adresēm – “Kastaņas” Sausnējas pagastā un Ērgļos Parka ielā 4, Lubānas </w:t>
      </w:r>
      <w:r w:rsidR="00AD0C14">
        <w:rPr>
          <w:rFonts w:cs="Times New Roman"/>
          <w:szCs w:val="24"/>
        </w:rPr>
        <w:t xml:space="preserve">sociālās aprūpes centrs un </w:t>
      </w:r>
      <w:r w:rsidR="00DA3C57">
        <w:rPr>
          <w:rFonts w:cs="Times New Roman"/>
          <w:szCs w:val="24"/>
        </w:rPr>
        <w:t xml:space="preserve">Sociālās </w:t>
      </w:r>
      <w:r w:rsidR="008316A0">
        <w:rPr>
          <w:rFonts w:cs="Times New Roman"/>
          <w:szCs w:val="24"/>
        </w:rPr>
        <w:t>aprūpes un rehabilitācijas centr</w:t>
      </w:r>
      <w:r w:rsidR="00C71AB5">
        <w:rPr>
          <w:rFonts w:cs="Times New Roman"/>
          <w:szCs w:val="24"/>
        </w:rPr>
        <w:t>s</w:t>
      </w:r>
      <w:r>
        <w:rPr>
          <w:rFonts w:cs="Times New Roman"/>
          <w:szCs w:val="24"/>
        </w:rPr>
        <w:t xml:space="preserve"> “Ozoli</w:t>
      </w:r>
      <w:r w:rsidRPr="00E33B01">
        <w:rPr>
          <w:rFonts w:cs="Times New Roman"/>
          <w:szCs w:val="24"/>
        </w:rPr>
        <w:t xml:space="preserve">”. </w:t>
      </w:r>
    </w:p>
    <w:p w:rsidR="001056CF" w:rsidRDefault="001056CF" w:rsidP="001056CF">
      <w:pPr>
        <w:spacing w:line="240" w:lineRule="auto"/>
        <w:jc w:val="both"/>
        <w:rPr>
          <w:rFonts w:cs="Times New Roman"/>
          <w:szCs w:val="24"/>
        </w:rPr>
      </w:pPr>
    </w:p>
    <w:p w:rsidR="001056CF" w:rsidRDefault="001056CF" w:rsidP="001056CF">
      <w:pPr>
        <w:spacing w:line="240" w:lineRule="auto"/>
        <w:jc w:val="both"/>
        <w:rPr>
          <w:rFonts w:cs="Times New Roman"/>
          <w:szCs w:val="24"/>
        </w:rPr>
      </w:pPr>
      <w:r>
        <w:rPr>
          <w:noProof/>
        </w:rPr>
        <w:lastRenderedPageBreak/>
        <w:drawing>
          <wp:inline distT="0" distB="0" distL="0" distR="0" wp14:anchorId="3581F407" wp14:editId="584DAE70">
            <wp:extent cx="5803265" cy="3962400"/>
            <wp:effectExtent l="0" t="0" r="6985" b="0"/>
            <wp:docPr id="1" name="Diagramma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E4D12" w:rsidRDefault="00AE4D12" w:rsidP="00016FD3">
      <w:pPr>
        <w:spacing w:line="240" w:lineRule="exact"/>
        <w:ind w:firstLine="720"/>
        <w:contextualSpacing/>
        <w:jc w:val="both"/>
        <w:rPr>
          <w:rFonts w:cs="Times New Roman"/>
          <w:szCs w:val="24"/>
        </w:rPr>
      </w:pPr>
      <w:r>
        <w:rPr>
          <w:rFonts w:cs="Times New Roman"/>
          <w:szCs w:val="24"/>
        </w:rPr>
        <w:t>Sociāl</w:t>
      </w:r>
      <w:r w:rsidR="00AD0C14">
        <w:rPr>
          <w:rFonts w:cs="Times New Roman"/>
          <w:szCs w:val="24"/>
        </w:rPr>
        <w:t>ais</w:t>
      </w:r>
      <w:r>
        <w:rPr>
          <w:rFonts w:cs="Times New Roman"/>
          <w:szCs w:val="24"/>
        </w:rPr>
        <w:t xml:space="preserve"> dienest</w:t>
      </w:r>
      <w:r w:rsidR="00AD0C14">
        <w:rPr>
          <w:rFonts w:cs="Times New Roman"/>
          <w:szCs w:val="24"/>
        </w:rPr>
        <w:t>s</w:t>
      </w:r>
      <w:r>
        <w:rPr>
          <w:rFonts w:cs="Times New Roman"/>
          <w:szCs w:val="24"/>
        </w:rPr>
        <w:t xml:space="preserve"> organizē un nodrošina aprūpes mājās pakalpojumu pensijas vecuma personām un personām ar funkcionāliem traucējumiem, kas vecuma un veselības stāvokļa dēļ nav spējīgi sevi aprūpēt un apmierināt pamatvajadzības. </w:t>
      </w:r>
      <w:r w:rsidR="00AD0C14">
        <w:rPr>
          <w:rFonts w:cs="Times New Roman"/>
          <w:szCs w:val="24"/>
        </w:rPr>
        <w:t>Pakalpojumu Madonas</w:t>
      </w:r>
      <w:r>
        <w:rPr>
          <w:rFonts w:cs="Times New Roman"/>
          <w:szCs w:val="24"/>
        </w:rPr>
        <w:t xml:space="preserve"> novads ir deleģējis biedrībai “Latvijas Samariešu apvienība”. 202</w:t>
      </w:r>
      <w:r w:rsidR="00AD0C14">
        <w:rPr>
          <w:rFonts w:cs="Times New Roman"/>
          <w:szCs w:val="24"/>
        </w:rPr>
        <w:t>2</w:t>
      </w:r>
      <w:r>
        <w:rPr>
          <w:rFonts w:cs="Times New Roman"/>
          <w:szCs w:val="24"/>
        </w:rPr>
        <w:t xml:space="preserve">.gadā aprūpes mājās pakalpojumu saņēma </w:t>
      </w:r>
      <w:r w:rsidR="00855136" w:rsidRPr="00855136">
        <w:rPr>
          <w:rFonts w:cs="Times New Roman"/>
          <w:szCs w:val="24"/>
        </w:rPr>
        <w:t xml:space="preserve">312 </w:t>
      </w:r>
      <w:r>
        <w:rPr>
          <w:rFonts w:cs="Times New Roman"/>
          <w:szCs w:val="24"/>
        </w:rPr>
        <w:t>Madonas novada iedzīvotāji</w:t>
      </w:r>
      <w:r w:rsidR="00467936">
        <w:rPr>
          <w:rFonts w:cs="Times New Roman"/>
          <w:szCs w:val="24"/>
        </w:rPr>
        <w:t xml:space="preserve">, izlietojot 305 634,97 EUR. </w:t>
      </w:r>
      <w:r>
        <w:rPr>
          <w:rFonts w:cs="Times New Roman"/>
          <w:szCs w:val="24"/>
        </w:rPr>
        <w:t xml:space="preserve">Par sociālās aprūpes mājās pakalpojumu klienti veic līdzmaksājumu. Trūcīgas personas ir atbrīvotas no līdzmaksājuma, bet maznodrošinātas - veic līdzmaksājumu 50% apmērā. </w:t>
      </w:r>
    </w:p>
    <w:p w:rsidR="00AE4D12" w:rsidRDefault="00AE4D12" w:rsidP="00016FD3">
      <w:pPr>
        <w:spacing w:line="240" w:lineRule="exact"/>
        <w:contextualSpacing/>
        <w:jc w:val="both"/>
        <w:rPr>
          <w:rFonts w:cs="Times New Roman"/>
          <w:szCs w:val="24"/>
        </w:rPr>
      </w:pPr>
      <w:r>
        <w:rPr>
          <w:rFonts w:cs="Times New Roman"/>
          <w:szCs w:val="24"/>
        </w:rPr>
        <w:t xml:space="preserve">     </w:t>
      </w:r>
      <w:r>
        <w:rPr>
          <w:rFonts w:cs="Times New Roman"/>
          <w:szCs w:val="24"/>
        </w:rPr>
        <w:tab/>
        <w:t>202</w:t>
      </w:r>
      <w:r w:rsidR="00B0062A">
        <w:rPr>
          <w:rFonts w:cs="Times New Roman"/>
          <w:szCs w:val="24"/>
        </w:rPr>
        <w:t>2</w:t>
      </w:r>
      <w:r>
        <w:rPr>
          <w:rFonts w:cs="Times New Roman"/>
          <w:szCs w:val="24"/>
        </w:rPr>
        <w:t xml:space="preserve">.gadā Madonas novadā ar  kāpurķēžu pacēlāju komplektā ar </w:t>
      </w:r>
      <w:proofErr w:type="spellStart"/>
      <w:r>
        <w:rPr>
          <w:rFonts w:cs="Times New Roman"/>
          <w:szCs w:val="24"/>
        </w:rPr>
        <w:t>ratiņkrēslu</w:t>
      </w:r>
      <w:proofErr w:type="spellEnd"/>
      <w:r>
        <w:rPr>
          <w:rFonts w:cs="Times New Roman"/>
          <w:szCs w:val="24"/>
        </w:rPr>
        <w:t xml:space="preserve"> pakalpojums pēc klienta pieprasījuma sniegts </w:t>
      </w:r>
      <w:r w:rsidR="00B0062A">
        <w:rPr>
          <w:rFonts w:cs="Times New Roman"/>
          <w:szCs w:val="24"/>
        </w:rPr>
        <w:t>72</w:t>
      </w:r>
      <w:r>
        <w:rPr>
          <w:rFonts w:cs="Times New Roman"/>
          <w:szCs w:val="24"/>
        </w:rPr>
        <w:t xml:space="preserve"> personām. Ar  </w:t>
      </w:r>
      <w:r w:rsidRPr="00C71AB5">
        <w:rPr>
          <w:rFonts w:cs="Times New Roman"/>
          <w:szCs w:val="24"/>
        </w:rPr>
        <w:t>3</w:t>
      </w:r>
      <w:r>
        <w:rPr>
          <w:rFonts w:cs="Times New Roman"/>
          <w:szCs w:val="24"/>
        </w:rPr>
        <w:t xml:space="preserve"> personām ir noslēgti lietojuma līgumi par kāpurķēžu pacēlāja komplektā ar </w:t>
      </w:r>
      <w:proofErr w:type="spellStart"/>
      <w:r>
        <w:rPr>
          <w:rFonts w:cs="Times New Roman"/>
          <w:szCs w:val="24"/>
        </w:rPr>
        <w:t>ratiņkrēslu</w:t>
      </w:r>
      <w:proofErr w:type="spellEnd"/>
      <w:r>
        <w:rPr>
          <w:rFonts w:cs="Times New Roman"/>
          <w:szCs w:val="24"/>
        </w:rPr>
        <w:t xml:space="preserve">  nodošanu bezatlīdzības lietošanā.</w:t>
      </w:r>
      <w:r w:rsidR="002209EA">
        <w:rPr>
          <w:rFonts w:cs="Times New Roman"/>
          <w:szCs w:val="24"/>
        </w:rPr>
        <w:t xml:space="preserve"> </w:t>
      </w:r>
      <w:r>
        <w:rPr>
          <w:rFonts w:cs="Times New Roman"/>
          <w:szCs w:val="24"/>
        </w:rPr>
        <w:t xml:space="preserve">Novada iedzīvotājiem ar kustību traucējumiem un tie, kuri pārvietojas </w:t>
      </w:r>
      <w:proofErr w:type="spellStart"/>
      <w:r>
        <w:rPr>
          <w:rFonts w:cs="Times New Roman"/>
          <w:szCs w:val="24"/>
        </w:rPr>
        <w:t>ratiņkrēslos</w:t>
      </w:r>
      <w:proofErr w:type="spellEnd"/>
      <w:r>
        <w:rPr>
          <w:rFonts w:cs="Times New Roman"/>
          <w:szCs w:val="24"/>
        </w:rPr>
        <w:t xml:space="preserve">, tiek nodrošināts specializētā transporta pakalpojums nokļūšanai uz/no ārstniecības iestādēm. </w:t>
      </w:r>
    </w:p>
    <w:p w:rsidR="00AE4D12" w:rsidRDefault="00AE4D12" w:rsidP="00016FD3">
      <w:pPr>
        <w:spacing w:line="240" w:lineRule="exact"/>
        <w:contextualSpacing/>
        <w:jc w:val="both"/>
      </w:pPr>
      <w:r>
        <w:rPr>
          <w:rFonts w:cs="Times New Roman"/>
          <w:szCs w:val="24"/>
        </w:rPr>
        <w:t xml:space="preserve">   </w:t>
      </w:r>
      <w:r>
        <w:rPr>
          <w:rFonts w:cs="Times New Roman"/>
          <w:szCs w:val="24"/>
        </w:rPr>
        <w:tab/>
        <w:t xml:space="preserve"> </w:t>
      </w:r>
      <w:r>
        <w:t xml:space="preserve">Cilvēkiem ar invaliditāti tiek  nodrošināti asistenta pakalpojumi. Asistenta pakalpojums ir paredzēts cilvēkiem ar invaliditāti (1. un 2. grupa), kuriem vajadzīgs atbalsts, pārvietojoties ārpus mājokļa, kuras funkcionēšanas ierobežojumu dēļ to nevar veikt pastāvīgi, lai nokļūtu vietā, kur viņi mācās, strādā, saņem pakalpojumus (piemēram, darbavieta, dienas centrs, poliklīnika, valsts iestādes u.c.). Pakalpojumu apmaksā no valsts budžeta līdzekļiem. </w:t>
      </w:r>
      <w:r>
        <w:rPr>
          <w:rFonts w:cs="Times New Roman"/>
          <w:szCs w:val="24"/>
        </w:rPr>
        <w:t>202</w:t>
      </w:r>
      <w:r w:rsidR="00855136">
        <w:rPr>
          <w:rFonts w:cs="Times New Roman"/>
          <w:szCs w:val="24"/>
        </w:rPr>
        <w:t>2</w:t>
      </w:r>
      <w:r>
        <w:rPr>
          <w:rFonts w:cs="Times New Roman"/>
          <w:szCs w:val="24"/>
        </w:rPr>
        <w:t>.gadā Sociāl</w:t>
      </w:r>
      <w:r w:rsidR="00FD01C2">
        <w:rPr>
          <w:rFonts w:cs="Times New Roman"/>
          <w:szCs w:val="24"/>
        </w:rPr>
        <w:t>ais</w:t>
      </w:r>
      <w:r>
        <w:rPr>
          <w:rFonts w:cs="Times New Roman"/>
          <w:szCs w:val="24"/>
        </w:rPr>
        <w:t xml:space="preserve"> dienest</w:t>
      </w:r>
      <w:r w:rsidR="00FD01C2">
        <w:rPr>
          <w:rFonts w:cs="Times New Roman"/>
          <w:szCs w:val="24"/>
        </w:rPr>
        <w:t>s</w:t>
      </w:r>
      <w:r w:rsidR="00695CA1">
        <w:rPr>
          <w:rFonts w:cs="Times New Roman"/>
          <w:szCs w:val="24"/>
        </w:rPr>
        <w:t xml:space="preserve"> </w:t>
      </w:r>
      <w:r w:rsidRPr="00C71D0A">
        <w:rPr>
          <w:rFonts w:cs="Times New Roman"/>
          <w:szCs w:val="24"/>
        </w:rPr>
        <w:t>1</w:t>
      </w:r>
      <w:r w:rsidR="00695CA1">
        <w:rPr>
          <w:rFonts w:cs="Times New Roman"/>
          <w:szCs w:val="24"/>
        </w:rPr>
        <w:t>25</w:t>
      </w:r>
      <w:r>
        <w:rPr>
          <w:rFonts w:cs="Times New Roman"/>
          <w:szCs w:val="24"/>
        </w:rPr>
        <w:t xml:space="preserve"> iedzīvotājiem ar  1. un 2.grupas invaliditāti  nodrošināja valsts apmaksātu asistenta pakalpojumu</w:t>
      </w:r>
      <w:r w:rsidR="00695CA1">
        <w:rPr>
          <w:rFonts w:cs="Times New Roman"/>
          <w:szCs w:val="24"/>
        </w:rPr>
        <w:t xml:space="preserve">, izlietojot 354 160,98 </w:t>
      </w:r>
      <w:proofErr w:type="spellStart"/>
      <w:r w:rsidR="00695CA1">
        <w:rPr>
          <w:rFonts w:cs="Times New Roman"/>
          <w:szCs w:val="24"/>
        </w:rPr>
        <w:t>euro</w:t>
      </w:r>
      <w:proofErr w:type="spellEnd"/>
      <w:r w:rsidR="00695CA1">
        <w:rPr>
          <w:rFonts w:cs="Times New Roman"/>
          <w:szCs w:val="24"/>
        </w:rPr>
        <w:t>.</w:t>
      </w:r>
    </w:p>
    <w:p w:rsidR="00AE4D12" w:rsidRDefault="00AE4D12" w:rsidP="00016FD3">
      <w:pPr>
        <w:spacing w:line="240" w:lineRule="exact"/>
        <w:ind w:firstLine="720"/>
        <w:contextualSpacing/>
        <w:jc w:val="both"/>
      </w:pPr>
      <w:r>
        <w:t>Turpinās sadarbība ar Latvijas Sarkanā krusta Madonas komiteju. Madonas novada trūcīgas un maznodrošinātas mājsaimniecības saņēma ES pārtikas preču komplektus un higiēnas un saimniecības preču komplektus, ģimenes ar bērniem arī skolas piederumu komplektus.</w:t>
      </w:r>
    </w:p>
    <w:p w:rsidR="00AE4D12" w:rsidRDefault="00AE4D12" w:rsidP="00016FD3">
      <w:pPr>
        <w:spacing w:line="240" w:lineRule="exact"/>
        <w:ind w:firstLine="720"/>
        <w:contextualSpacing/>
        <w:jc w:val="both"/>
      </w:pPr>
      <w:r w:rsidRPr="000979B8">
        <w:t>202</w:t>
      </w:r>
      <w:r w:rsidR="00FD01C2" w:rsidRPr="000979B8">
        <w:t>2</w:t>
      </w:r>
      <w:r w:rsidRPr="000979B8">
        <w:t>.gadā savu darbību turpināja Dienas centrs ’’Baltā ūdensroze’’, kas ir reģistrēts zem nodibinājuma ’’Latvijas Evaņģēliski luteriskās baznīcas Diakonijas centra’’. Pašvaldība ir deleģējusi pārvaldes uzdevumu</w:t>
      </w:r>
      <w:r w:rsidR="00016FD3">
        <w:t xml:space="preserve"> – dienas centra pakalpojumu pilngadīgām personām, dienas aprūpes centra pakalpojumu pilngadīgām personām ar garīga rakstura traucējumiem, atbalsta centra pakalpojumu, zupas virtuves pakalpojumu un higiēnas pakalpojumu.</w:t>
      </w:r>
      <w:r w:rsidR="00695CA1">
        <w:t xml:space="preserve"> Dienas aprūpes centra pakalpojumu pilngadīgām personām ar garīga rakstura traucējumiem ir iespēja saņemt trīs vietās – Madonā, Kalsnavā un Lubānā.</w:t>
      </w:r>
    </w:p>
    <w:p w:rsidR="00AE4D12" w:rsidRPr="000979B8" w:rsidRDefault="00AE4D12" w:rsidP="00016FD3">
      <w:pPr>
        <w:spacing w:line="240" w:lineRule="exact"/>
        <w:ind w:firstLine="720"/>
        <w:contextualSpacing/>
        <w:jc w:val="both"/>
      </w:pPr>
      <w:r>
        <w:t xml:space="preserve">Madonas novada </w:t>
      </w:r>
      <w:r w:rsidR="009B4C41">
        <w:t xml:space="preserve">224 </w:t>
      </w:r>
      <w:r w:rsidR="00855136">
        <w:t>bērniem</w:t>
      </w:r>
      <w:r>
        <w:t xml:space="preserve"> </w:t>
      </w:r>
      <w:r w:rsidR="00855136">
        <w:t>bija</w:t>
      </w:r>
      <w:r>
        <w:t xml:space="preserve"> iespēja saņemt  Madonas novada pašvaldības finansētos sociālos pakalpojumus</w:t>
      </w:r>
      <w:r w:rsidR="00855136">
        <w:t xml:space="preserve"> </w:t>
      </w:r>
      <w:r>
        <w:t xml:space="preserve">– mūzikas terapija, smilšu terapija, </w:t>
      </w:r>
      <w:proofErr w:type="spellStart"/>
      <w:r>
        <w:t>montesori</w:t>
      </w:r>
      <w:proofErr w:type="spellEnd"/>
      <w:r>
        <w:t>, logopēds, fizioterapija, siltās smiltis, ārstnieciskā masāža,</w:t>
      </w:r>
      <w:r w:rsidR="00855136">
        <w:t xml:space="preserve"> psihologs, mākslas terapija, psihoterapeits, izlietojot no pašvaldības budžeta 62 575,00 </w:t>
      </w:r>
      <w:proofErr w:type="spellStart"/>
      <w:r w:rsidR="00855136">
        <w:t>euro</w:t>
      </w:r>
      <w:proofErr w:type="spellEnd"/>
      <w:r w:rsidR="00855136">
        <w:t>.</w:t>
      </w:r>
      <w:r>
        <w:t xml:space="preserve"> Īpašu uzmanību vēršam uz to, ka šos sociālos pakalpojumus var saņemt arī bērni un jaunieši, kuriem nav noteikta invaliditāte.</w:t>
      </w:r>
      <w:r w:rsidR="000979B8">
        <w:t xml:space="preserve"> Šos pakalpojumus</w:t>
      </w:r>
      <w:r w:rsidR="001E562F">
        <w:t xml:space="preserve"> nodrošināja</w:t>
      </w:r>
      <w:r w:rsidR="00695CA1">
        <w:t xml:space="preserve">, gan sociālā dienesta pakalpojuma sniedzēji, gan Ģimeņu atbalsta centrs </w:t>
      </w:r>
      <w:proofErr w:type="spellStart"/>
      <w:r w:rsidR="00695CA1">
        <w:t>TuTi</w:t>
      </w:r>
      <w:proofErr w:type="spellEnd"/>
      <w:r w:rsidR="00695CA1">
        <w:t>.</w:t>
      </w:r>
    </w:p>
    <w:p w:rsidR="000979B8" w:rsidRDefault="00AE4D12" w:rsidP="00016FD3">
      <w:pPr>
        <w:spacing w:line="240" w:lineRule="exact"/>
        <w:ind w:firstLine="720"/>
        <w:contextualSpacing/>
        <w:jc w:val="both"/>
      </w:pPr>
      <w:r>
        <w:rPr>
          <w:rFonts w:cs="Times New Roman"/>
          <w:szCs w:val="24"/>
        </w:rPr>
        <w:lastRenderedPageBreak/>
        <w:t xml:space="preserve">Pašvaldībā notiek aktīvs darbs, lai Eiropas Savienības līdzfinansēto </w:t>
      </w:r>
      <w:proofErr w:type="spellStart"/>
      <w:r>
        <w:rPr>
          <w:rFonts w:cs="Times New Roman"/>
          <w:szCs w:val="24"/>
        </w:rPr>
        <w:t>deinstitucionalizācijas</w:t>
      </w:r>
      <w:proofErr w:type="spellEnd"/>
      <w:r>
        <w:rPr>
          <w:rFonts w:cs="Times New Roman"/>
          <w:szCs w:val="24"/>
        </w:rPr>
        <w:t xml:space="preserve"> (turpmāk DI ) projektu ietvaros saņemtu sociālos pakalpojumus. DI projekta ietvaros bērni un jaunieši un to likumiskie pārstāvji saņem atbalsta plānā piedāvātos sociālos pakalpojumus. </w:t>
      </w:r>
      <w:r>
        <w:t>Madonas novada pašvaldībā projekta “Vidzeme iekļauj“ ietvaros izvērtētās pilngadīgas personas ar garīga rakstura traucējumiem</w:t>
      </w:r>
      <w:r w:rsidR="000979B8">
        <w:t xml:space="preserve"> </w:t>
      </w:r>
      <w:r>
        <w:t>saņem sociālās rehabilitācijas pakalpojumus pie dažādiem pakalpojumu sniedzējiem</w:t>
      </w:r>
      <w:r w:rsidR="000979B8">
        <w:t>, kamēr novads projekta ietvaros izveidos grupu dzīvokļus un specializētās darbnīcas.</w:t>
      </w:r>
    </w:p>
    <w:p w:rsidR="002209EA" w:rsidRPr="002209EA" w:rsidRDefault="002209EA" w:rsidP="002209EA">
      <w:pPr>
        <w:spacing w:line="240" w:lineRule="exact"/>
        <w:ind w:firstLine="720"/>
        <w:contextualSpacing/>
        <w:jc w:val="both"/>
        <w:rPr>
          <w:rFonts w:cs="Times New Roman"/>
          <w:szCs w:val="24"/>
        </w:rPr>
      </w:pPr>
      <w:r w:rsidRPr="002209EA">
        <w:rPr>
          <w:rFonts w:cs="Times New Roman"/>
          <w:szCs w:val="24"/>
        </w:rPr>
        <w:t>2022.gada 1.augustā Madonas novada Liezēres pagastā D</w:t>
      </w:r>
      <w:r w:rsidRPr="002209EA">
        <w:rPr>
          <w:rFonts w:cs="Times New Roman"/>
          <w:szCs w:val="24"/>
        </w:rPr>
        <w:t>I</w:t>
      </w:r>
      <w:r w:rsidRPr="002209EA">
        <w:rPr>
          <w:rFonts w:cs="Times New Roman"/>
          <w:szCs w:val="24"/>
        </w:rPr>
        <w:t xml:space="preserve"> procesa ietvaros durvis atvēra sociālās aprūpes un rehabilitācijas centrs “Ozoli”, kas turpmāk nodrošinās iespējami ģimeniskai videi tuvāku ikdienu bērniem, kuri palikuši bez vecāku gādības. Tika atklātas jaunas mājas 14 bērniem, kur viena ir jaunbūve, otra pārbūvēta ēka.</w:t>
      </w:r>
      <w:r>
        <w:rPr>
          <w:rFonts w:cs="Times New Roman"/>
          <w:szCs w:val="24"/>
        </w:rPr>
        <w:t xml:space="preserve"> </w:t>
      </w:r>
      <w:r w:rsidRPr="002209EA">
        <w:rPr>
          <w:rFonts w:cs="Times New Roman"/>
          <w:szCs w:val="24"/>
        </w:rPr>
        <w:t>Centrs tapis, reorganizējot līdzšinējo aprūpes centru bērniem.</w:t>
      </w:r>
      <w:r w:rsidRPr="002209EA">
        <w:rPr>
          <w:rFonts w:cs="Times New Roman"/>
          <w:szCs w:val="24"/>
        </w:rPr>
        <w:t xml:space="preserve"> </w:t>
      </w:r>
      <w:r w:rsidRPr="002209EA">
        <w:rPr>
          <w:rFonts w:cs="Times New Roman"/>
          <w:szCs w:val="24"/>
        </w:rPr>
        <w:t>Ģimeniskai videi pietuvināts pakalpojums bērniem bāreņiem un bez vecāku gādības palikušiem bērniem. Pakalpojuma būtība ir “Dzīve kā ģimenē”, ko nodrošināsim paši radot savu apkārtējo vidi, apgūstot prasmes un iemaņas, pilnveidojoties, izglītojoties un radoši pavadot brīvo laiku</w:t>
      </w:r>
      <w:r>
        <w:rPr>
          <w:rFonts w:cs="Times New Roman"/>
          <w:szCs w:val="24"/>
        </w:rPr>
        <w:t>.</w:t>
      </w:r>
    </w:p>
    <w:p w:rsidR="00AE4D12" w:rsidRPr="00B46433" w:rsidRDefault="000979B8" w:rsidP="00016FD3">
      <w:pPr>
        <w:spacing w:before="100" w:beforeAutospacing="1" w:after="100" w:afterAutospacing="1" w:line="240" w:lineRule="exact"/>
        <w:contextualSpacing/>
        <w:jc w:val="both"/>
        <w:rPr>
          <w:rFonts w:eastAsia="Times New Roman" w:cs="Times New Roman"/>
          <w:szCs w:val="24"/>
          <w:lang w:eastAsia="lv-LV"/>
        </w:rPr>
      </w:pPr>
      <w:r>
        <w:rPr>
          <w:rFonts w:eastAsia="Times New Roman" w:cs="Times New Roman"/>
          <w:b/>
          <w:szCs w:val="24"/>
          <w:lang w:eastAsia="lv-LV"/>
        </w:rPr>
        <w:tab/>
      </w:r>
      <w:r w:rsidR="00B46433">
        <w:rPr>
          <w:rFonts w:eastAsia="Times New Roman" w:cs="Times New Roman"/>
          <w:szCs w:val="24"/>
          <w:lang w:eastAsia="lv-LV"/>
        </w:rPr>
        <w:t>Pakalpojumus projekta ietvaros saņēma pieaugušas personas ar garīga rakstura traucējumiem. Pārskata periodā kopīgā izdevumu summa ir 200</w:t>
      </w:r>
      <w:r w:rsidR="002209EA">
        <w:rPr>
          <w:rFonts w:eastAsia="Times New Roman" w:cs="Times New Roman"/>
          <w:szCs w:val="24"/>
          <w:lang w:eastAsia="lv-LV"/>
        </w:rPr>
        <w:t xml:space="preserve"> </w:t>
      </w:r>
      <w:r w:rsidR="00B46433">
        <w:rPr>
          <w:rFonts w:eastAsia="Times New Roman" w:cs="Times New Roman"/>
          <w:szCs w:val="24"/>
          <w:lang w:eastAsia="lv-LV"/>
        </w:rPr>
        <w:t xml:space="preserve">428,53 </w:t>
      </w:r>
      <w:proofErr w:type="spellStart"/>
      <w:r w:rsidR="00B46433">
        <w:rPr>
          <w:rFonts w:eastAsia="Times New Roman" w:cs="Times New Roman"/>
          <w:szCs w:val="24"/>
          <w:lang w:eastAsia="lv-LV"/>
        </w:rPr>
        <w:t>euro</w:t>
      </w:r>
      <w:proofErr w:type="spellEnd"/>
      <w:r w:rsidR="00B46433">
        <w:rPr>
          <w:rFonts w:eastAsia="Times New Roman" w:cs="Times New Roman"/>
          <w:szCs w:val="24"/>
          <w:lang w:eastAsia="lv-LV"/>
        </w:rPr>
        <w:t xml:space="preserve">. Šajos pakalpojumos ietilpst šādas pakalpojumu grupas: </w:t>
      </w:r>
      <w:r w:rsidR="00016FD3">
        <w:rPr>
          <w:rFonts w:eastAsia="Times New Roman" w:cs="Times New Roman"/>
          <w:szCs w:val="24"/>
          <w:lang w:eastAsia="lv-LV"/>
        </w:rPr>
        <w:t>d</w:t>
      </w:r>
      <w:r w:rsidR="00B46433">
        <w:rPr>
          <w:rFonts w:eastAsia="Times New Roman" w:cs="Times New Roman"/>
          <w:szCs w:val="24"/>
          <w:lang w:eastAsia="lv-LV"/>
        </w:rPr>
        <w:t>ienas aprūpes centrs</w:t>
      </w:r>
      <w:r w:rsidR="00016FD3">
        <w:rPr>
          <w:rFonts w:eastAsia="Times New Roman" w:cs="Times New Roman"/>
          <w:szCs w:val="24"/>
          <w:lang w:eastAsia="lv-LV"/>
        </w:rPr>
        <w:t xml:space="preserve"> 38 personām, grupu māja (dzīvoklis) – 5 personas, specializētās darbnīcas – 2 personas, speciālistu konsultācijas saņēma 30 klienti un atbalsta grupas apmeklēja 3 klienti.</w:t>
      </w:r>
    </w:p>
    <w:p w:rsidR="00AE4D12" w:rsidRPr="00016FD3" w:rsidRDefault="00E65577" w:rsidP="00016FD3">
      <w:pPr>
        <w:spacing w:before="100" w:beforeAutospacing="1" w:after="100" w:afterAutospacing="1" w:line="240" w:lineRule="exact"/>
        <w:ind w:firstLine="720"/>
        <w:contextualSpacing/>
        <w:jc w:val="both"/>
        <w:rPr>
          <w:rFonts w:eastAsia="Times New Roman" w:cs="Times New Roman"/>
          <w:szCs w:val="24"/>
          <w:lang w:eastAsia="lv-LV"/>
        </w:rPr>
      </w:pPr>
      <w:r>
        <w:rPr>
          <w:rFonts w:eastAsia="Times New Roman" w:cs="Times New Roman"/>
          <w:szCs w:val="24"/>
          <w:lang w:eastAsia="lv-LV"/>
        </w:rPr>
        <w:t xml:space="preserve">Projekta “Vidzeme iekļauj” </w:t>
      </w:r>
      <w:r w:rsidR="000979B8">
        <w:rPr>
          <w:rFonts w:eastAsia="Times New Roman" w:cs="Times New Roman"/>
          <w:szCs w:val="24"/>
          <w:lang w:eastAsia="lv-LV"/>
        </w:rPr>
        <w:t>DI</w:t>
      </w:r>
      <w:r>
        <w:rPr>
          <w:rFonts w:eastAsia="Times New Roman" w:cs="Times New Roman"/>
          <w:szCs w:val="24"/>
          <w:lang w:eastAsia="lv-LV"/>
        </w:rPr>
        <w:t xml:space="preserve"> plāna ieviešanas ietvaros 2022.gada 15.decembrī atvēra sociālo pakalpojumu centru bērniem ar funkcionāliem traucējumiem rehabilitācijas centru Madonā Parka ielā 4. </w:t>
      </w:r>
      <w:r w:rsidR="00642A9B" w:rsidRPr="00642A9B">
        <w:rPr>
          <w:rFonts w:cs="Times New Roman"/>
          <w:szCs w:val="24"/>
        </w:rPr>
        <w:t>Centrs nodrošina</w:t>
      </w:r>
      <w:r>
        <w:rPr>
          <w:rFonts w:cs="Times New Roman"/>
          <w:szCs w:val="24"/>
        </w:rPr>
        <w:t xml:space="preserve"> </w:t>
      </w:r>
      <w:r>
        <w:rPr>
          <w:rFonts w:eastAsiaTheme="minorEastAsia" w:cs="Times New Roman"/>
          <w:bCs/>
          <w:i/>
          <w:iCs/>
          <w:color w:val="000000" w:themeColor="text1"/>
          <w:kern w:val="24"/>
          <w:szCs w:val="24"/>
          <w:lang w:eastAsia="lv-LV"/>
        </w:rPr>
        <w:t>d</w:t>
      </w:r>
      <w:r w:rsidR="00642A9B" w:rsidRPr="00642A9B">
        <w:rPr>
          <w:rFonts w:eastAsiaTheme="minorEastAsia" w:cs="Times New Roman"/>
          <w:bCs/>
          <w:i/>
          <w:iCs/>
          <w:color w:val="000000" w:themeColor="text1"/>
          <w:kern w:val="24"/>
          <w:szCs w:val="24"/>
          <w:lang w:eastAsia="lv-LV"/>
        </w:rPr>
        <w:t>ienas aprūpes centru</w:t>
      </w:r>
      <w:r>
        <w:rPr>
          <w:rFonts w:eastAsiaTheme="minorEastAsia" w:cs="Times New Roman"/>
          <w:bCs/>
          <w:i/>
          <w:iCs/>
          <w:color w:val="000000" w:themeColor="text1"/>
          <w:kern w:val="24"/>
          <w:szCs w:val="24"/>
          <w:lang w:eastAsia="lv-LV"/>
        </w:rPr>
        <w:t xml:space="preserve">, </w:t>
      </w:r>
      <w:r w:rsidRPr="000979B8">
        <w:rPr>
          <w:rFonts w:eastAsiaTheme="minorEastAsia" w:cs="Times New Roman"/>
          <w:bCs/>
          <w:iCs/>
          <w:color w:val="000000" w:themeColor="text1"/>
          <w:kern w:val="24"/>
          <w:szCs w:val="24"/>
          <w:lang w:eastAsia="lv-LV"/>
        </w:rPr>
        <w:t>ar iespēju pakalpojumu saņemt 13 bērniem</w:t>
      </w:r>
      <w:r w:rsidR="000979B8" w:rsidRPr="000979B8">
        <w:rPr>
          <w:rFonts w:eastAsiaTheme="minorEastAsia" w:cs="Times New Roman"/>
          <w:bCs/>
          <w:iCs/>
          <w:color w:val="000000" w:themeColor="text1"/>
          <w:kern w:val="24"/>
          <w:szCs w:val="24"/>
          <w:lang w:eastAsia="lv-LV"/>
        </w:rPr>
        <w:t>,</w:t>
      </w:r>
      <w:r w:rsidR="000979B8">
        <w:rPr>
          <w:rFonts w:eastAsiaTheme="minorEastAsia" w:cs="Times New Roman"/>
          <w:bCs/>
          <w:i/>
          <w:iCs/>
          <w:color w:val="000000" w:themeColor="text1"/>
          <w:kern w:val="24"/>
          <w:szCs w:val="24"/>
          <w:lang w:eastAsia="lv-LV"/>
        </w:rPr>
        <w:t xml:space="preserve"> </w:t>
      </w:r>
      <w:r>
        <w:rPr>
          <w:rFonts w:eastAsiaTheme="minorEastAsia" w:cs="Times New Roman"/>
          <w:bCs/>
          <w:i/>
          <w:iCs/>
          <w:color w:val="000000" w:themeColor="text1"/>
          <w:kern w:val="24"/>
          <w:szCs w:val="24"/>
          <w:lang w:eastAsia="lv-LV"/>
        </w:rPr>
        <w:t>s</w:t>
      </w:r>
      <w:r w:rsidR="00642A9B" w:rsidRPr="00642A9B">
        <w:rPr>
          <w:rFonts w:eastAsiaTheme="minorEastAsia" w:cs="Times New Roman"/>
          <w:bCs/>
          <w:i/>
          <w:iCs/>
          <w:color w:val="000000" w:themeColor="text1"/>
          <w:kern w:val="24"/>
          <w:szCs w:val="24"/>
          <w:lang w:eastAsia="lv-LV"/>
        </w:rPr>
        <w:t>ociālās rehabilitācijas pakalpojum</w:t>
      </w:r>
      <w:r w:rsidR="000979B8">
        <w:rPr>
          <w:rFonts w:eastAsiaTheme="minorEastAsia" w:cs="Times New Roman"/>
          <w:bCs/>
          <w:i/>
          <w:iCs/>
          <w:color w:val="000000" w:themeColor="text1"/>
          <w:kern w:val="24"/>
          <w:szCs w:val="24"/>
          <w:lang w:eastAsia="lv-LV"/>
        </w:rPr>
        <w:t>a</w:t>
      </w:r>
      <w:r w:rsidR="00642A9B" w:rsidRPr="00642A9B">
        <w:rPr>
          <w:rFonts w:eastAsiaTheme="minorEastAsia" w:cs="Times New Roman"/>
          <w:bCs/>
          <w:i/>
          <w:iCs/>
          <w:color w:val="000000" w:themeColor="text1"/>
          <w:kern w:val="24"/>
          <w:szCs w:val="24"/>
          <w:lang w:eastAsia="lv-LV"/>
        </w:rPr>
        <w:t xml:space="preserve"> centr</w:t>
      </w:r>
      <w:r>
        <w:rPr>
          <w:rFonts w:eastAsiaTheme="minorEastAsia" w:cs="Times New Roman"/>
          <w:bCs/>
          <w:i/>
          <w:iCs/>
          <w:color w:val="000000" w:themeColor="text1"/>
          <w:kern w:val="24"/>
          <w:szCs w:val="24"/>
          <w:lang w:eastAsia="lv-LV"/>
        </w:rPr>
        <w:t>u</w:t>
      </w:r>
      <w:r w:rsidR="000979B8">
        <w:rPr>
          <w:rFonts w:eastAsiaTheme="minorEastAsia" w:cs="Times New Roman"/>
          <w:bCs/>
          <w:i/>
          <w:iCs/>
          <w:color w:val="000000" w:themeColor="text1"/>
          <w:kern w:val="24"/>
          <w:szCs w:val="24"/>
          <w:lang w:eastAsia="lv-LV"/>
        </w:rPr>
        <w:t xml:space="preserve">, </w:t>
      </w:r>
      <w:r w:rsidR="000979B8">
        <w:rPr>
          <w:rFonts w:eastAsiaTheme="minorEastAsia" w:cs="Times New Roman"/>
          <w:bCs/>
          <w:iCs/>
          <w:color w:val="000000" w:themeColor="text1"/>
          <w:kern w:val="24"/>
          <w:szCs w:val="24"/>
          <w:lang w:eastAsia="lv-LV"/>
        </w:rPr>
        <w:t>kur rehabilitācijas pakalpojumus saņem 38 bērni ar funkcionāliem traucējumiem un viņu likumiskie pārstāvji</w:t>
      </w:r>
      <w:r>
        <w:rPr>
          <w:rFonts w:eastAsiaTheme="minorEastAsia" w:cs="Times New Roman"/>
          <w:bCs/>
          <w:i/>
          <w:iCs/>
          <w:color w:val="000000" w:themeColor="text1"/>
          <w:kern w:val="24"/>
          <w:szCs w:val="24"/>
          <w:lang w:eastAsia="lv-LV"/>
        </w:rPr>
        <w:t xml:space="preserve"> </w:t>
      </w:r>
      <w:r w:rsidR="000979B8">
        <w:rPr>
          <w:rFonts w:eastAsiaTheme="minorEastAsia" w:cs="Times New Roman"/>
          <w:bCs/>
          <w:iCs/>
          <w:color w:val="000000" w:themeColor="text1"/>
          <w:kern w:val="24"/>
          <w:szCs w:val="24"/>
          <w:lang w:eastAsia="lv-LV"/>
        </w:rPr>
        <w:t xml:space="preserve">un </w:t>
      </w:r>
      <w:r w:rsidR="00642A9B" w:rsidRPr="00642A9B">
        <w:rPr>
          <w:rFonts w:eastAsiaTheme="minorEastAsia" w:cs="Times New Roman"/>
          <w:bCs/>
          <w:i/>
          <w:color w:val="000000" w:themeColor="text1"/>
          <w:kern w:val="24"/>
          <w:szCs w:val="24"/>
          <w:lang w:eastAsia="lv-LV"/>
        </w:rPr>
        <w:t>‘’Atelpas  brīdis ‘’</w:t>
      </w:r>
      <w:r w:rsidR="000979B8">
        <w:rPr>
          <w:rFonts w:eastAsiaTheme="minorEastAsia" w:cs="Times New Roman"/>
          <w:bCs/>
          <w:i/>
          <w:color w:val="000000" w:themeColor="text1"/>
          <w:kern w:val="24"/>
          <w:szCs w:val="24"/>
          <w:lang w:eastAsia="lv-LV"/>
        </w:rPr>
        <w:t xml:space="preserve">- </w:t>
      </w:r>
      <w:r w:rsidR="000979B8">
        <w:rPr>
          <w:rFonts w:eastAsia="Times New Roman" w:cs="Times New Roman"/>
          <w:szCs w:val="24"/>
          <w:lang w:eastAsia="lv-LV"/>
        </w:rPr>
        <w:t>v</w:t>
      </w:r>
      <w:r w:rsidR="00642A9B" w:rsidRPr="00642A9B">
        <w:rPr>
          <w:rFonts w:eastAsiaTheme="minorEastAsia" w:cs="Times New Roman"/>
          <w:color w:val="000000" w:themeColor="text1"/>
          <w:kern w:val="24"/>
          <w:szCs w:val="24"/>
          <w:lang w:eastAsia="lv-LV"/>
        </w:rPr>
        <w:t xml:space="preserve">ieta </w:t>
      </w:r>
      <w:r w:rsidR="000979B8">
        <w:rPr>
          <w:rFonts w:eastAsiaTheme="minorEastAsia" w:cs="Times New Roman"/>
          <w:color w:val="000000" w:themeColor="text1"/>
          <w:kern w:val="24"/>
          <w:szCs w:val="24"/>
          <w:lang w:eastAsia="lv-LV"/>
        </w:rPr>
        <w:t>5</w:t>
      </w:r>
      <w:r w:rsidR="00642A9B" w:rsidRPr="00642A9B">
        <w:rPr>
          <w:rFonts w:eastAsiaTheme="minorEastAsia" w:cs="Times New Roman"/>
          <w:color w:val="000000" w:themeColor="text1"/>
          <w:kern w:val="24"/>
          <w:szCs w:val="24"/>
          <w:lang w:eastAsia="lv-LV"/>
        </w:rPr>
        <w:t xml:space="preserve"> bērniem</w:t>
      </w:r>
      <w:r w:rsidR="000979B8">
        <w:rPr>
          <w:rFonts w:eastAsiaTheme="minorEastAsia" w:cs="Times New Roman"/>
          <w:color w:val="000000" w:themeColor="text1"/>
          <w:kern w:val="24"/>
          <w:szCs w:val="24"/>
          <w:lang w:eastAsia="lv-LV"/>
        </w:rPr>
        <w:t xml:space="preserve"> ar </w:t>
      </w:r>
      <w:r w:rsidR="00642A9B" w:rsidRPr="00642A9B">
        <w:rPr>
          <w:rFonts w:eastAsiaTheme="minorEastAsia" w:cs="Times New Roman"/>
          <w:color w:val="000000" w:themeColor="text1"/>
          <w:kern w:val="24"/>
          <w:szCs w:val="24"/>
          <w:lang w:eastAsia="lv-LV"/>
        </w:rPr>
        <w:t>diennakts pakalpojum</w:t>
      </w:r>
      <w:r w:rsidR="000979B8">
        <w:rPr>
          <w:rFonts w:eastAsiaTheme="minorEastAsia" w:cs="Times New Roman"/>
          <w:color w:val="000000" w:themeColor="text1"/>
          <w:kern w:val="24"/>
          <w:szCs w:val="24"/>
          <w:lang w:eastAsia="lv-LV"/>
        </w:rPr>
        <w:t>u</w:t>
      </w:r>
      <w:r w:rsidR="00642A9B" w:rsidRPr="00642A9B">
        <w:rPr>
          <w:rFonts w:eastAsiaTheme="minorEastAsia" w:cs="Times New Roman"/>
          <w:color w:val="000000" w:themeColor="text1"/>
          <w:kern w:val="24"/>
          <w:szCs w:val="24"/>
          <w:lang w:eastAsia="lv-LV"/>
        </w:rPr>
        <w:t>, kurā tiek nodrošināta bērna pieskatīšana, aprūpe, pašaprūpes spēju attīstība un saturīga brīvā laika pavadīšana.</w:t>
      </w:r>
      <w:r w:rsidR="000979B8">
        <w:rPr>
          <w:rFonts w:eastAsiaTheme="minorEastAsia" w:cs="Times New Roman"/>
          <w:color w:val="000000" w:themeColor="text1"/>
          <w:kern w:val="24"/>
          <w:szCs w:val="24"/>
          <w:lang w:eastAsia="lv-LV"/>
        </w:rPr>
        <w:t xml:space="preserve"> </w:t>
      </w:r>
      <w:r w:rsidR="00642A9B" w:rsidRPr="00642A9B">
        <w:rPr>
          <w:rFonts w:cs="Times New Roman"/>
          <w:szCs w:val="24"/>
        </w:rPr>
        <w:t>Pakalpojumi deleģēti biedrībai “Biedrība bērniem, jauniešiem un pieaugušajiem ar dažādiem funkcionāliem traucējumiem “Mēs saviem bērniem””</w:t>
      </w:r>
      <w:r w:rsidR="000979B8">
        <w:rPr>
          <w:rFonts w:cs="Times New Roman"/>
          <w:szCs w:val="24"/>
        </w:rPr>
        <w:t>.</w:t>
      </w:r>
      <w:r w:rsidR="00B46433">
        <w:rPr>
          <w:rFonts w:cs="Times New Roman"/>
          <w:szCs w:val="24"/>
        </w:rPr>
        <w:t xml:space="preserve"> Bērniem ar funkcionāliem traucējumiem izlietoti 58015,42 </w:t>
      </w:r>
      <w:proofErr w:type="spellStart"/>
      <w:r w:rsidR="00B46433">
        <w:rPr>
          <w:rFonts w:cs="Times New Roman"/>
          <w:szCs w:val="24"/>
        </w:rPr>
        <w:t>euro</w:t>
      </w:r>
      <w:proofErr w:type="spellEnd"/>
      <w:r w:rsidR="00B46433">
        <w:rPr>
          <w:rFonts w:cs="Times New Roman"/>
          <w:szCs w:val="24"/>
        </w:rPr>
        <w:t xml:space="preserve">, kur aprūpi saņēmuši 4 bērni – 10717,42 </w:t>
      </w:r>
      <w:proofErr w:type="spellStart"/>
      <w:r w:rsidR="00B46433">
        <w:rPr>
          <w:rFonts w:cs="Times New Roman"/>
          <w:szCs w:val="24"/>
        </w:rPr>
        <w:t>euro</w:t>
      </w:r>
      <w:proofErr w:type="spellEnd"/>
      <w:r w:rsidR="00B46433">
        <w:rPr>
          <w:rFonts w:cs="Times New Roman"/>
          <w:szCs w:val="24"/>
        </w:rPr>
        <w:t xml:space="preserve">, rehabilitāciju saņēmuši 35 bērni – 41611 </w:t>
      </w:r>
      <w:proofErr w:type="spellStart"/>
      <w:r w:rsidR="00B46433">
        <w:rPr>
          <w:rFonts w:cs="Times New Roman"/>
          <w:szCs w:val="24"/>
        </w:rPr>
        <w:t>euro</w:t>
      </w:r>
      <w:proofErr w:type="spellEnd"/>
      <w:r w:rsidR="00B46433">
        <w:rPr>
          <w:rFonts w:cs="Times New Roman"/>
          <w:szCs w:val="24"/>
        </w:rPr>
        <w:t xml:space="preserve"> un rehabilitāciju saņēma 11 vecāki, izlietojot – 5687 </w:t>
      </w:r>
      <w:proofErr w:type="spellStart"/>
      <w:r w:rsidR="00B46433">
        <w:rPr>
          <w:rFonts w:cs="Times New Roman"/>
          <w:szCs w:val="24"/>
        </w:rPr>
        <w:t>euro</w:t>
      </w:r>
      <w:proofErr w:type="spellEnd"/>
      <w:r w:rsidR="00B46433">
        <w:rPr>
          <w:rFonts w:cs="Times New Roman"/>
          <w:szCs w:val="24"/>
        </w:rPr>
        <w:t>. Kopīgos izdevumus kompensēja “Vidzeme iekļauj” projekta ietvaros.</w:t>
      </w:r>
    </w:p>
    <w:p w:rsidR="00F054C2" w:rsidRDefault="000979B8" w:rsidP="00016FD3">
      <w:pPr>
        <w:spacing w:line="240" w:lineRule="exact"/>
        <w:ind w:firstLine="720"/>
        <w:contextualSpacing/>
        <w:jc w:val="both"/>
      </w:pPr>
      <w:r w:rsidRPr="002636F9">
        <w:rPr>
          <w:rFonts w:eastAsiaTheme="majorEastAsia" w:cs="Times New Roman"/>
          <w:kern w:val="24"/>
          <w:szCs w:val="24"/>
        </w:rPr>
        <w:t xml:space="preserve">Ar šī projekta </w:t>
      </w:r>
      <w:r>
        <w:rPr>
          <w:rFonts w:eastAsiaTheme="majorEastAsia" w:cs="Times New Roman"/>
          <w:color w:val="000000" w:themeColor="text1"/>
          <w:kern w:val="24"/>
          <w:szCs w:val="24"/>
        </w:rPr>
        <w:t>ieviešanu Madonas novadā tiks ļoti paplašināta un pilnveidota  sociālo pakalpojumu sniegšanas sistēma, nodrošinot iespēju cilvēkiem kvalitatīvi dzīvot ārpus institūcijām, saņemot atbilstošus sabiedrībā balstītus pa</w:t>
      </w:r>
      <w:bookmarkStart w:id="0" w:name="_GoBack"/>
      <w:bookmarkEnd w:id="0"/>
      <w:r>
        <w:rPr>
          <w:rFonts w:eastAsiaTheme="majorEastAsia" w:cs="Times New Roman"/>
          <w:color w:val="000000" w:themeColor="text1"/>
          <w:kern w:val="24"/>
          <w:szCs w:val="24"/>
        </w:rPr>
        <w:t>kalpojumus.</w:t>
      </w:r>
    </w:p>
    <w:sectPr w:rsidR="00F054C2" w:rsidSect="00187E6C">
      <w:pgSz w:w="11906" w:h="16838"/>
      <w:pgMar w:top="568"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8B2D69"/>
    <w:multiLevelType w:val="multilevel"/>
    <w:tmpl w:val="B2B67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537CD8"/>
    <w:multiLevelType w:val="multilevel"/>
    <w:tmpl w:val="91749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D12"/>
    <w:rsid w:val="00016FD3"/>
    <w:rsid w:val="00080D2D"/>
    <w:rsid w:val="0009566C"/>
    <w:rsid w:val="000979B8"/>
    <w:rsid w:val="001056CF"/>
    <w:rsid w:val="00154A81"/>
    <w:rsid w:val="00187E6C"/>
    <w:rsid w:val="001E562F"/>
    <w:rsid w:val="002209EA"/>
    <w:rsid w:val="0026108C"/>
    <w:rsid w:val="002C0A22"/>
    <w:rsid w:val="00393E98"/>
    <w:rsid w:val="003F41B0"/>
    <w:rsid w:val="00411903"/>
    <w:rsid w:val="00467936"/>
    <w:rsid w:val="00495BAE"/>
    <w:rsid w:val="004C5958"/>
    <w:rsid w:val="00556D07"/>
    <w:rsid w:val="00582CEC"/>
    <w:rsid w:val="005A00DE"/>
    <w:rsid w:val="00642A9B"/>
    <w:rsid w:val="00691C46"/>
    <w:rsid w:val="00695CA1"/>
    <w:rsid w:val="00763499"/>
    <w:rsid w:val="008316A0"/>
    <w:rsid w:val="00855136"/>
    <w:rsid w:val="009B4C41"/>
    <w:rsid w:val="00AD0C14"/>
    <w:rsid w:val="00AE4D12"/>
    <w:rsid w:val="00B0062A"/>
    <w:rsid w:val="00B346E1"/>
    <w:rsid w:val="00B46433"/>
    <w:rsid w:val="00B819D6"/>
    <w:rsid w:val="00BB785F"/>
    <w:rsid w:val="00BD2974"/>
    <w:rsid w:val="00C71AB5"/>
    <w:rsid w:val="00C71D0A"/>
    <w:rsid w:val="00CC18D7"/>
    <w:rsid w:val="00D34A8E"/>
    <w:rsid w:val="00DA3C57"/>
    <w:rsid w:val="00E42A6B"/>
    <w:rsid w:val="00E65577"/>
    <w:rsid w:val="00F02F9F"/>
    <w:rsid w:val="00F054C2"/>
    <w:rsid w:val="00FC5853"/>
    <w:rsid w:val="00FD01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C09D2"/>
  <w15:chartTrackingRefBased/>
  <w15:docId w15:val="{6F73A1FA-D8BD-4DB0-A4B0-329B6DF8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AE4D12"/>
    <w:pPr>
      <w:spacing w:line="256" w:lineRule="auto"/>
    </w:pPr>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080D2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80D2D"/>
    <w:rPr>
      <w:rFonts w:ascii="Segoe UI" w:hAnsi="Segoe UI" w:cs="Segoe UI"/>
      <w:sz w:val="18"/>
      <w:szCs w:val="18"/>
    </w:rPr>
  </w:style>
  <w:style w:type="paragraph" w:styleId="Sarakstarindkopa">
    <w:name w:val="List Paragraph"/>
    <w:basedOn w:val="Parasts"/>
    <w:uiPriority w:val="34"/>
    <w:qFormat/>
    <w:rsid w:val="002209EA"/>
    <w:pPr>
      <w:spacing w:after="200" w:line="276"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1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Pabalsti_2022\SAC%20p&#257;rskat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v-LV" sz="1000"/>
              <a:t>2022. gadā Izmaksātie</a:t>
            </a:r>
            <a:r>
              <a:rPr lang="lv-LV" sz="1000" baseline="0"/>
              <a:t> pabalsti</a:t>
            </a:r>
          </a:p>
        </c:rich>
      </c:tx>
      <c:overlay val="0"/>
      <c:spPr>
        <a:noFill/>
        <a:ln>
          <a:noFill/>
        </a:ln>
        <a:effectLst/>
      </c:spPr>
      <c:txPr>
        <a:bodyPr rot="0" spcFirstLastPara="1" vertOverflow="ellipsis" vert="horz" wrap="square" anchor="ctr" anchorCtr="1"/>
        <a:lstStyle/>
        <a:p>
          <a:pPr>
            <a:defRPr sz="1000" b="1"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6247597350299856"/>
          <c:y val="0.31858304322838304"/>
          <c:w val="0.72798756441292212"/>
          <c:h val="0.68141692985425639"/>
        </c:manualLayout>
      </c:layout>
      <c:pie3DChart>
        <c:varyColors val="1"/>
        <c:ser>
          <c:idx val="0"/>
          <c:order val="0"/>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EFA4-47D9-A1A0-961253FA7B24}"/>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EFA4-47D9-A1A0-961253FA7B24}"/>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EFA4-47D9-A1A0-961253FA7B24}"/>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EFA4-47D9-A1A0-961253FA7B24}"/>
              </c:ext>
            </c:extLst>
          </c:dPt>
          <c:dPt>
            <c:idx val="4"/>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EFA4-47D9-A1A0-961253FA7B24}"/>
              </c:ext>
            </c:extLst>
          </c:dPt>
          <c:dPt>
            <c:idx val="5"/>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EFA4-47D9-A1A0-961253FA7B24}"/>
              </c:ext>
            </c:extLst>
          </c:dPt>
          <c:dPt>
            <c:idx val="6"/>
            <c:bubble3D val="0"/>
            <c:spPr>
              <a:solidFill>
                <a:schemeClr val="accent2">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EFA4-47D9-A1A0-961253FA7B24}"/>
              </c:ext>
            </c:extLst>
          </c:dPt>
          <c:dPt>
            <c:idx val="7"/>
            <c:bubble3D val="0"/>
            <c:spPr>
              <a:solidFill>
                <a:schemeClr val="accent4">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EFA4-47D9-A1A0-961253FA7B24}"/>
              </c:ext>
            </c:extLst>
          </c:dPt>
          <c:dPt>
            <c:idx val="8"/>
            <c:bubble3D val="0"/>
            <c:spPr>
              <a:solidFill>
                <a:schemeClr val="accent6">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EFA4-47D9-A1A0-961253FA7B24}"/>
              </c:ext>
            </c:extLst>
          </c:dPt>
          <c:dPt>
            <c:idx val="9"/>
            <c:bubble3D val="0"/>
            <c:spPr>
              <a:solidFill>
                <a:schemeClr val="accent2">
                  <a:lumMod val="8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EFA4-47D9-A1A0-961253FA7B24}"/>
              </c:ext>
            </c:extLst>
          </c:dPt>
          <c:dPt>
            <c:idx val="10"/>
            <c:bubble3D val="0"/>
            <c:spPr>
              <a:solidFill>
                <a:schemeClr val="accent4">
                  <a:lumMod val="8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EFA4-47D9-A1A0-961253FA7B24}"/>
              </c:ext>
            </c:extLst>
          </c:dPt>
          <c:dLbls>
            <c:dLbl>
              <c:idx val="0"/>
              <c:layout>
                <c:manualLayout>
                  <c:x val="-4.6824700029265438E-3"/>
                  <c:y val="-3.515625E-2"/>
                </c:manualLayout>
              </c:layout>
              <c:spPr>
                <a:noFill/>
                <a:ln>
                  <a:noFill/>
                </a:ln>
                <a:effectLst/>
              </c:spPr>
              <c:txPr>
                <a:bodyPr rot="0" spcFirstLastPara="1" vertOverflow="ellipsis" vert="horz" wrap="square" anchor="ctr" anchorCtr="1"/>
                <a:lstStyle/>
                <a:p>
                  <a:pPr>
                    <a:defRPr sz="800" b="1" i="0" u="none" strike="noStrike" kern="1200" spc="0" baseline="0">
                      <a:solidFill>
                        <a:schemeClr val="accent2"/>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FA4-47D9-A1A0-961253FA7B24}"/>
                </c:ext>
              </c:extLst>
            </c:dLbl>
            <c:dLbl>
              <c:idx val="1"/>
              <c:layout>
                <c:manualLayout>
                  <c:x val="-2.2241732513901255E-2"/>
                  <c:y val="-5.6640625E-2"/>
                </c:manualLayout>
              </c:layout>
              <c:tx>
                <c:rich>
                  <a:bodyPr rot="0" spcFirstLastPara="1" vertOverflow="ellipsis" vert="horz" wrap="square" anchor="ctr" anchorCtr="1"/>
                  <a:lstStyle/>
                  <a:p>
                    <a:pPr>
                      <a:defRPr sz="800" b="1" i="0" u="none" strike="noStrike" kern="1200" spc="0" baseline="0">
                        <a:solidFill>
                          <a:schemeClr val="accent2"/>
                        </a:solidFill>
                        <a:latin typeface="Times New Roman" panose="02020603050405020304" pitchFamily="18" charset="0"/>
                        <a:ea typeface="+mn-ea"/>
                        <a:cs typeface="Times New Roman" panose="02020603050405020304" pitchFamily="18" charset="0"/>
                      </a:defRPr>
                    </a:pPr>
                    <a:fld id="{0C4EA5EF-DE5E-477F-9698-BDE5D1B612D1}" type="CATEGORYNAME">
                      <a:rPr lang="lv-LV" sz="800"/>
                      <a:pPr>
                        <a:defRPr sz="800">
                          <a:solidFill>
                            <a:schemeClr val="accent2"/>
                          </a:solidFill>
                        </a:defRPr>
                      </a:pPr>
                      <a:t>[KATEGORIJAS NOSAUKUMS]</a:t>
                    </a:fld>
                    <a:r>
                      <a:rPr lang="lv-LV" sz="800" baseline="0"/>
                      <a:t>
</a:t>
                    </a:r>
                    <a:fld id="{80A56E08-18D4-46CA-86B2-AC25A1B717F1}" type="PERCENTAGE">
                      <a:rPr lang="lv-LV" sz="800" baseline="0"/>
                      <a:pPr>
                        <a:defRPr sz="800">
                          <a:solidFill>
                            <a:schemeClr val="accent2"/>
                          </a:solidFill>
                        </a:defRPr>
                      </a:pPr>
                      <a:t>[PROCENTUĀLĀ VĒRTĪBA]</a:t>
                    </a:fld>
                    <a:endParaRPr lang="lv-LV" sz="800" baseline="0"/>
                  </a:p>
                </c:rich>
              </c:tx>
              <c:spPr>
                <a:noFill/>
                <a:ln>
                  <a:noFill/>
                </a:ln>
                <a:effectLst/>
              </c:spPr>
              <c:txPr>
                <a:bodyPr rot="0" spcFirstLastPara="1" vertOverflow="ellipsis" vert="horz" wrap="square" anchor="ctr" anchorCtr="1"/>
                <a:lstStyle/>
                <a:p>
                  <a:pPr>
                    <a:defRPr sz="800" b="1" i="0" u="none" strike="noStrike" kern="1200" spc="0" baseline="0">
                      <a:solidFill>
                        <a:schemeClr val="accent2"/>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FA4-47D9-A1A0-961253FA7B24}"/>
                </c:ext>
              </c:extLst>
            </c:dLbl>
            <c:dLbl>
              <c:idx val="2"/>
              <c:spPr>
                <a:noFill/>
                <a:ln>
                  <a:noFill/>
                </a:ln>
                <a:effectLst/>
              </c:spPr>
              <c:txPr>
                <a:bodyPr rot="0" spcFirstLastPara="1" vertOverflow="ellipsis" vert="horz" wrap="square" anchor="ctr" anchorCtr="1"/>
                <a:lstStyle/>
                <a:p>
                  <a:pPr>
                    <a:defRPr sz="800" b="1" i="0" u="none" strike="noStrike" kern="1200" spc="0" baseline="0">
                      <a:solidFill>
                        <a:schemeClr val="accent6"/>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0"/>
              <c:showCatName val="1"/>
              <c:showSerName val="0"/>
              <c:showPercent val="1"/>
              <c:showBubbleSize val="0"/>
              <c:extLst>
                <c:ext xmlns:c16="http://schemas.microsoft.com/office/drawing/2014/chart" uri="{C3380CC4-5D6E-409C-BE32-E72D297353CC}">
                  <c16:uniqueId val="{00000005-EFA4-47D9-A1A0-961253FA7B24}"/>
                </c:ext>
              </c:extLst>
            </c:dLbl>
            <c:dLbl>
              <c:idx val="3"/>
              <c:spPr>
                <a:noFill/>
                <a:ln>
                  <a:noFill/>
                </a:ln>
                <a:effectLst/>
              </c:spPr>
              <c:txPr>
                <a:bodyPr rot="0" spcFirstLastPara="1" vertOverflow="ellipsis" vert="horz" wrap="square" anchor="ctr" anchorCtr="1"/>
                <a:lstStyle/>
                <a:p>
                  <a:pPr>
                    <a:defRPr sz="800" b="1" i="0" u="none" strike="noStrike" kern="1200" spc="0" baseline="0">
                      <a:solidFill>
                        <a:schemeClr val="accent2">
                          <a:lumMod val="60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0"/>
              <c:showCatName val="1"/>
              <c:showSerName val="0"/>
              <c:showPercent val="1"/>
              <c:showBubbleSize val="0"/>
              <c:extLst>
                <c:ext xmlns:c16="http://schemas.microsoft.com/office/drawing/2014/chart" uri="{C3380CC4-5D6E-409C-BE32-E72D297353CC}">
                  <c16:uniqueId val="{00000007-EFA4-47D9-A1A0-961253FA7B24}"/>
                </c:ext>
              </c:extLst>
            </c:dLbl>
            <c:dLbl>
              <c:idx val="4"/>
              <c:layout>
                <c:manualLayout>
                  <c:x val="-4.779702257240856E-2"/>
                  <c:y val="5.8804475087312402E-2"/>
                </c:manualLayout>
              </c:layout>
              <c:spPr>
                <a:noFill/>
                <a:ln>
                  <a:noFill/>
                </a:ln>
                <a:effectLst/>
              </c:spPr>
              <c:txPr>
                <a:bodyPr rot="0" spcFirstLastPara="1" vertOverflow="ellipsis" vert="horz" wrap="square" anchor="ctr" anchorCtr="1"/>
                <a:lstStyle/>
                <a:p>
                  <a:pPr>
                    <a:defRPr sz="800" b="1" i="0" u="none" strike="noStrike" kern="1200" spc="0" baseline="0">
                      <a:solidFill>
                        <a:schemeClr val="accent4">
                          <a:lumMod val="60000"/>
                        </a:schemeClr>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0"/>
              <c:showCatName val="1"/>
              <c:showSerName val="0"/>
              <c:showPercent val="1"/>
              <c:showBubbleSize val="0"/>
              <c:extLst>
                <c:ext xmlns:c15="http://schemas.microsoft.com/office/drawing/2012/chart" uri="{CE6537A1-D6FC-4f65-9D91-7224C49458BB}">
                  <c15:layout>
                    <c:manualLayout>
                      <c:w val="0.17925078148717072"/>
                      <c:h val="7.8167773276128089E-2"/>
                    </c:manualLayout>
                  </c15:layout>
                </c:ext>
                <c:ext xmlns:c16="http://schemas.microsoft.com/office/drawing/2014/chart" uri="{C3380CC4-5D6E-409C-BE32-E72D297353CC}">
                  <c16:uniqueId val="{00000009-EFA4-47D9-A1A0-961253FA7B24}"/>
                </c:ext>
              </c:extLst>
            </c:dLbl>
            <c:dLbl>
              <c:idx val="5"/>
              <c:layout>
                <c:manualLayout>
                  <c:x val="-1.1488238201771864E-2"/>
                  <c:y val="3.4693929212249973E-3"/>
                </c:manualLayout>
              </c:layout>
              <c:spPr>
                <a:noFill/>
                <a:ln>
                  <a:noFill/>
                </a:ln>
                <a:effectLst/>
              </c:spPr>
              <c:txPr>
                <a:bodyPr rot="0" spcFirstLastPara="1" vertOverflow="ellipsis" vert="horz" wrap="square" anchor="ctr" anchorCtr="1"/>
                <a:lstStyle/>
                <a:p>
                  <a:pPr>
                    <a:defRPr sz="800" b="1" i="0" u="none" strike="noStrike" kern="1200" spc="0" baseline="0">
                      <a:solidFill>
                        <a:schemeClr val="accent6">
                          <a:lumMod val="60000"/>
                        </a:schemeClr>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0"/>
              <c:showCatName val="1"/>
              <c:showSerName val="0"/>
              <c:showPercent val="1"/>
              <c:showBubbleSize val="0"/>
              <c:extLst>
                <c:ext xmlns:c15="http://schemas.microsoft.com/office/drawing/2012/chart" uri="{CE6537A1-D6FC-4f65-9D91-7224C49458BB}">
                  <c15:layout>
                    <c:manualLayout>
                      <c:w val="0.19806520403039757"/>
                      <c:h val="8.1889514916830081E-2"/>
                    </c:manualLayout>
                  </c15:layout>
                </c:ext>
                <c:ext xmlns:c16="http://schemas.microsoft.com/office/drawing/2014/chart" uri="{C3380CC4-5D6E-409C-BE32-E72D297353CC}">
                  <c16:uniqueId val="{0000000B-EFA4-47D9-A1A0-961253FA7B24}"/>
                </c:ext>
              </c:extLst>
            </c:dLbl>
            <c:dLbl>
              <c:idx val="6"/>
              <c:layout>
                <c:manualLayout>
                  <c:x val="-8.0176727189063754E-3"/>
                  <c:y val="-7.952168745084974E-2"/>
                </c:manualLayout>
              </c:layout>
              <c:spPr>
                <a:noFill/>
                <a:ln>
                  <a:noFill/>
                </a:ln>
                <a:effectLst/>
              </c:spPr>
              <c:txPr>
                <a:bodyPr rot="0" spcFirstLastPara="1" vertOverflow="ellipsis" vert="horz" wrap="square" anchor="ctr" anchorCtr="1"/>
                <a:lstStyle/>
                <a:p>
                  <a:pPr>
                    <a:defRPr sz="800" b="1" i="0" u="none" strike="noStrike" kern="1200" spc="0" baseline="0">
                      <a:solidFill>
                        <a:schemeClr val="accent2">
                          <a:lumMod val="80000"/>
                          <a:lumOff val="20000"/>
                        </a:schemeClr>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0"/>
              <c:showCatName val="1"/>
              <c:showSerName val="0"/>
              <c:showPercent val="1"/>
              <c:showBubbleSize val="0"/>
              <c:extLst>
                <c:ext xmlns:c15="http://schemas.microsoft.com/office/drawing/2012/chart" uri="{CE6537A1-D6FC-4f65-9D91-7224C49458BB}">
                  <c15:layout>
                    <c:manualLayout>
                      <c:w val="0.20603004517281226"/>
                      <c:h val="7.9936440467065509E-2"/>
                    </c:manualLayout>
                  </c15:layout>
                </c:ext>
                <c:ext xmlns:c16="http://schemas.microsoft.com/office/drawing/2014/chart" uri="{C3380CC4-5D6E-409C-BE32-E72D297353CC}">
                  <c16:uniqueId val="{0000000D-EFA4-47D9-A1A0-961253FA7B24}"/>
                </c:ext>
              </c:extLst>
            </c:dLbl>
            <c:dLbl>
              <c:idx val="7"/>
              <c:spPr>
                <a:noFill/>
                <a:ln>
                  <a:noFill/>
                </a:ln>
                <a:effectLst/>
              </c:spPr>
              <c:txPr>
                <a:bodyPr rot="0" spcFirstLastPara="1" vertOverflow="ellipsis" vert="horz" wrap="square" anchor="ctr" anchorCtr="1"/>
                <a:lstStyle/>
                <a:p>
                  <a:pPr>
                    <a:defRPr sz="800" b="1" i="0" u="none" strike="noStrike" kern="1200" spc="0" baseline="0">
                      <a:solidFill>
                        <a:schemeClr val="accent4">
                          <a:lumMod val="80000"/>
                          <a:lumOff val="20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0"/>
              <c:showCatName val="1"/>
              <c:showSerName val="0"/>
              <c:showPercent val="1"/>
              <c:showBubbleSize val="0"/>
              <c:extLst>
                <c:ext xmlns:c16="http://schemas.microsoft.com/office/drawing/2014/chart" uri="{C3380CC4-5D6E-409C-BE32-E72D297353CC}">
                  <c16:uniqueId val="{0000000F-EFA4-47D9-A1A0-961253FA7B24}"/>
                </c:ext>
              </c:extLst>
            </c:dLbl>
            <c:dLbl>
              <c:idx val="8"/>
              <c:layout>
                <c:manualLayout>
                  <c:x val="-4.42645111853113E-2"/>
                  <c:y val="-1.4778325123152709E-2"/>
                </c:manualLayout>
              </c:layout>
              <c:spPr>
                <a:noFill/>
                <a:ln>
                  <a:noFill/>
                </a:ln>
                <a:effectLst/>
              </c:spPr>
              <c:txPr>
                <a:bodyPr rot="0" spcFirstLastPara="1" vertOverflow="ellipsis" vert="horz" wrap="square" anchor="ctr" anchorCtr="1"/>
                <a:lstStyle/>
                <a:p>
                  <a:pPr>
                    <a:defRPr sz="800" b="1" i="0" u="none" strike="noStrike" kern="1200" spc="0" baseline="0">
                      <a:solidFill>
                        <a:schemeClr val="accent6">
                          <a:lumMod val="80000"/>
                          <a:lumOff val="20000"/>
                        </a:schemeClr>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EFA4-47D9-A1A0-961253FA7B24}"/>
                </c:ext>
              </c:extLst>
            </c:dLbl>
            <c:dLbl>
              <c:idx val="9"/>
              <c:layout>
                <c:manualLayout>
                  <c:x val="0"/>
                  <c:y val="-5.4187192118226604E-2"/>
                </c:manualLayout>
              </c:layout>
              <c:spPr>
                <a:noFill/>
                <a:ln>
                  <a:noFill/>
                </a:ln>
                <a:effectLst/>
              </c:spPr>
              <c:txPr>
                <a:bodyPr rot="0" spcFirstLastPara="1" vertOverflow="ellipsis" vert="horz" wrap="square" anchor="ctr" anchorCtr="1"/>
                <a:lstStyle/>
                <a:p>
                  <a:pPr>
                    <a:defRPr sz="800" b="1" i="0" u="none" strike="noStrike" kern="1200" spc="0" baseline="0">
                      <a:solidFill>
                        <a:schemeClr val="accent2">
                          <a:lumMod val="80000"/>
                        </a:schemeClr>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3-EFA4-47D9-A1A0-961253FA7B24}"/>
                </c:ext>
              </c:extLst>
            </c:dLbl>
            <c:dLbl>
              <c:idx val="10"/>
              <c:layout>
                <c:manualLayout>
                  <c:x val="7.3687283821743443E-2"/>
                  <c:y val="-3.9377217270918058E-2"/>
                </c:manualLayout>
              </c:layout>
              <c:spPr>
                <a:noFill/>
                <a:ln>
                  <a:noFill/>
                </a:ln>
                <a:effectLst/>
              </c:spPr>
              <c:txPr>
                <a:bodyPr rot="0" spcFirstLastPara="1" vertOverflow="ellipsis" vert="horz" wrap="square" anchor="ctr" anchorCtr="1"/>
                <a:lstStyle/>
                <a:p>
                  <a:pPr>
                    <a:defRPr sz="800" b="1" i="0" u="none" strike="noStrike" kern="1200" spc="0" baseline="0">
                      <a:solidFill>
                        <a:schemeClr val="accent4">
                          <a:lumMod val="80000"/>
                        </a:schemeClr>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0"/>
              <c:showCatName val="1"/>
              <c:showSerName val="0"/>
              <c:showPercent val="1"/>
              <c:showBubbleSize val="0"/>
              <c:extLst>
                <c:ext xmlns:c15="http://schemas.microsoft.com/office/drawing/2012/chart" uri="{CE6537A1-D6FC-4f65-9D91-7224C49458BB}">
                  <c15:layout>
                    <c:manualLayout>
                      <c:w val="0.15067598551936931"/>
                      <c:h val="0.12673992673992671"/>
                    </c:manualLayout>
                  </c15:layout>
                </c:ext>
                <c:ext xmlns:c16="http://schemas.microsoft.com/office/drawing/2014/chart" uri="{C3380CC4-5D6E-409C-BE32-E72D297353CC}">
                  <c16:uniqueId val="{00000015-EFA4-47D9-A1A0-961253FA7B24}"/>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2"/>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Lapa1!$B$11:$B$21</c:f>
              <c:strCache>
                <c:ptCount val="11"/>
                <c:pt idx="0">
                  <c:v>GMI pabalsts</c:v>
                </c:pt>
                <c:pt idx="1">
                  <c:v>mājokļa pabalsts  </c:v>
                </c:pt>
                <c:pt idx="2">
                  <c:v>recepšu medikamentiem</c:v>
                </c:pt>
                <c:pt idx="3">
                  <c:v>pabalsts bērnu izglītībai</c:v>
                </c:pt>
                <c:pt idx="4">
                  <c:v>pabalsti bāreņiem</c:v>
                </c:pt>
                <c:pt idx="5">
                  <c:v>pabalsti audžuģimenēm</c:v>
                </c:pt>
                <c:pt idx="6">
                  <c:v>apbedīšanas pabalsts</c:v>
                </c:pt>
                <c:pt idx="7">
                  <c:v>pabalsts jubilejā</c:v>
                </c:pt>
                <c:pt idx="8">
                  <c:v>krīzes situācijā</c:v>
                </c:pt>
                <c:pt idx="9">
                  <c:v>pabalsts jaundzimušo aprūpei</c:v>
                </c:pt>
                <c:pt idx="10">
                  <c:v>svētku pabalsts politiski represētiem, ČAES dalībniekiem</c:v>
                </c:pt>
              </c:strCache>
            </c:strRef>
          </c:cat>
          <c:val>
            <c:numRef>
              <c:f>Lapa1!$C$11:$C$21</c:f>
              <c:numCache>
                <c:formatCode>0</c:formatCode>
                <c:ptCount val="11"/>
                <c:pt idx="0">
                  <c:v>289</c:v>
                </c:pt>
                <c:pt idx="1">
                  <c:v>897</c:v>
                </c:pt>
                <c:pt idx="2">
                  <c:v>687</c:v>
                </c:pt>
                <c:pt idx="3">
                  <c:v>391</c:v>
                </c:pt>
                <c:pt idx="4">
                  <c:v>40</c:v>
                </c:pt>
                <c:pt idx="5">
                  <c:v>22</c:v>
                </c:pt>
                <c:pt idx="6">
                  <c:v>99</c:v>
                </c:pt>
                <c:pt idx="7">
                  <c:v>690</c:v>
                </c:pt>
                <c:pt idx="8">
                  <c:v>9</c:v>
                </c:pt>
                <c:pt idx="9">
                  <c:v>217</c:v>
                </c:pt>
                <c:pt idx="10">
                  <c:v>286</c:v>
                </c:pt>
              </c:numCache>
            </c:numRef>
          </c:val>
          <c:extLst>
            <c:ext xmlns:c16="http://schemas.microsoft.com/office/drawing/2014/chart" uri="{C3380CC4-5D6E-409C-BE32-E72D297353CC}">
              <c16:uniqueId val="{00000016-EFA4-47D9-A1A0-961253FA7B24}"/>
            </c:ext>
          </c:extLst>
        </c:ser>
        <c:ser>
          <c:idx val="1"/>
          <c:order val="1"/>
          <c:dLbls>
            <c:spPr>
              <a:noFill/>
              <a:ln>
                <a:noFill/>
              </a:ln>
              <a:effectLst/>
            </c:sp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Lapa1!$B$11:$B$21</c:f>
              <c:strCache>
                <c:ptCount val="11"/>
                <c:pt idx="0">
                  <c:v>GMI pabalsts</c:v>
                </c:pt>
                <c:pt idx="1">
                  <c:v>mājokļa pabalsts  </c:v>
                </c:pt>
                <c:pt idx="2">
                  <c:v>recepšu medikamentiem</c:v>
                </c:pt>
                <c:pt idx="3">
                  <c:v>pabalsts bērnu izglītībai</c:v>
                </c:pt>
                <c:pt idx="4">
                  <c:v>pabalsti bāreņiem</c:v>
                </c:pt>
                <c:pt idx="5">
                  <c:v>pabalsti audžuģimenēm</c:v>
                </c:pt>
                <c:pt idx="6">
                  <c:v>apbedīšanas pabalsts</c:v>
                </c:pt>
                <c:pt idx="7">
                  <c:v>pabalsts jubilejā</c:v>
                </c:pt>
                <c:pt idx="8">
                  <c:v>krīzes situācijā</c:v>
                </c:pt>
                <c:pt idx="9">
                  <c:v>pabalsts jaundzimušo aprūpei</c:v>
                </c:pt>
                <c:pt idx="10">
                  <c:v>svētku pabalsts politiski represētiem, ČAES dalībniekiem</c:v>
                </c:pt>
              </c:strCache>
            </c:strRef>
          </c:cat>
          <c:val>
            <c:numRef>
              <c:f>Lapa1!$D$11:$D$21</c:f>
            </c:numRef>
          </c:val>
          <c:extLst>
            <c:ext xmlns:c16="http://schemas.microsoft.com/office/drawing/2014/chart" uri="{C3380CC4-5D6E-409C-BE32-E72D297353CC}">
              <c16:uniqueId val="{00000017-EFA4-47D9-A1A0-961253FA7B24}"/>
            </c:ext>
          </c:extLst>
        </c:ser>
        <c:ser>
          <c:idx val="2"/>
          <c:order val="2"/>
          <c:dLbls>
            <c:spPr>
              <a:noFill/>
              <a:ln>
                <a:noFill/>
              </a:ln>
              <a:effectLst/>
            </c:sp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Lapa1!$B$11:$B$21</c:f>
              <c:strCache>
                <c:ptCount val="11"/>
                <c:pt idx="0">
                  <c:v>GMI pabalsts</c:v>
                </c:pt>
                <c:pt idx="1">
                  <c:v>mājokļa pabalsts  </c:v>
                </c:pt>
                <c:pt idx="2">
                  <c:v>recepšu medikamentiem</c:v>
                </c:pt>
                <c:pt idx="3">
                  <c:v>pabalsts bērnu izglītībai</c:v>
                </c:pt>
                <c:pt idx="4">
                  <c:v>pabalsti bāreņiem</c:v>
                </c:pt>
                <c:pt idx="5">
                  <c:v>pabalsti audžuģimenēm</c:v>
                </c:pt>
                <c:pt idx="6">
                  <c:v>apbedīšanas pabalsts</c:v>
                </c:pt>
                <c:pt idx="7">
                  <c:v>pabalsts jubilejā</c:v>
                </c:pt>
                <c:pt idx="8">
                  <c:v>krīzes situācijā</c:v>
                </c:pt>
                <c:pt idx="9">
                  <c:v>pabalsts jaundzimušo aprūpei</c:v>
                </c:pt>
                <c:pt idx="10">
                  <c:v>svētku pabalsts politiski represētiem, ČAES dalībniekiem</c:v>
                </c:pt>
              </c:strCache>
            </c:strRef>
          </c:cat>
          <c:val>
            <c:numRef>
              <c:f>Lapa1!$E$11:$E$21</c:f>
            </c:numRef>
          </c:val>
          <c:extLst>
            <c:ext xmlns:c16="http://schemas.microsoft.com/office/drawing/2014/chart" uri="{C3380CC4-5D6E-409C-BE32-E72D297353CC}">
              <c16:uniqueId val="{00000018-EFA4-47D9-A1A0-961253FA7B24}"/>
            </c:ext>
          </c:extLst>
        </c:ser>
        <c:ser>
          <c:idx val="3"/>
          <c:order val="3"/>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A-EFA4-47D9-A1A0-961253FA7B24}"/>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C-EFA4-47D9-A1A0-961253FA7B24}"/>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E-EFA4-47D9-A1A0-961253FA7B24}"/>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0-EFA4-47D9-A1A0-961253FA7B24}"/>
              </c:ext>
            </c:extLst>
          </c:dPt>
          <c:dPt>
            <c:idx val="4"/>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2-EFA4-47D9-A1A0-961253FA7B24}"/>
              </c:ext>
            </c:extLst>
          </c:dPt>
          <c:dPt>
            <c:idx val="5"/>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4-EFA4-47D9-A1A0-961253FA7B24}"/>
              </c:ext>
            </c:extLst>
          </c:dPt>
          <c:dPt>
            <c:idx val="6"/>
            <c:bubble3D val="0"/>
            <c:spPr>
              <a:solidFill>
                <a:schemeClr val="accent2">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6-EFA4-47D9-A1A0-961253FA7B24}"/>
              </c:ext>
            </c:extLst>
          </c:dPt>
          <c:dPt>
            <c:idx val="7"/>
            <c:bubble3D val="0"/>
            <c:spPr>
              <a:solidFill>
                <a:schemeClr val="accent4">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8-EFA4-47D9-A1A0-961253FA7B24}"/>
              </c:ext>
            </c:extLst>
          </c:dPt>
          <c:dPt>
            <c:idx val="8"/>
            <c:bubble3D val="0"/>
            <c:spPr>
              <a:solidFill>
                <a:schemeClr val="accent6">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A-EFA4-47D9-A1A0-961253FA7B24}"/>
              </c:ext>
            </c:extLst>
          </c:dPt>
          <c:dPt>
            <c:idx val="9"/>
            <c:bubble3D val="0"/>
            <c:spPr>
              <a:solidFill>
                <a:schemeClr val="accent2">
                  <a:lumMod val="8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C-EFA4-47D9-A1A0-961253FA7B24}"/>
              </c:ext>
            </c:extLst>
          </c:dPt>
          <c:dPt>
            <c:idx val="10"/>
            <c:bubble3D val="0"/>
            <c:spPr>
              <a:solidFill>
                <a:schemeClr val="accent4">
                  <a:lumMod val="8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E-EFA4-47D9-A1A0-961253FA7B24}"/>
              </c:ext>
            </c:extLst>
          </c:dPt>
          <c:dLbls>
            <c:dLbl>
              <c:idx val="0"/>
              <c:spPr>
                <a:noFill/>
                <a:ln>
                  <a:noFill/>
                </a:ln>
                <a:effectLst/>
              </c:spPr>
              <c:txPr>
                <a:bodyPr rot="0" spcFirstLastPara="1" vertOverflow="ellipsis" vert="horz" wrap="square" anchor="ctr" anchorCtr="1"/>
                <a:lstStyle/>
                <a:p>
                  <a:pPr>
                    <a:defRPr sz="1200" b="1" i="0" u="none" strike="noStrike" kern="1200" spc="0" baseline="0">
                      <a:solidFill>
                        <a:schemeClr val="accent2"/>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0"/>
              <c:showCatName val="1"/>
              <c:showSerName val="0"/>
              <c:showPercent val="1"/>
              <c:showBubbleSize val="0"/>
              <c:extLst>
                <c:ext xmlns:c16="http://schemas.microsoft.com/office/drawing/2014/chart" uri="{C3380CC4-5D6E-409C-BE32-E72D297353CC}">
                  <c16:uniqueId val="{0000001A-EFA4-47D9-A1A0-961253FA7B24}"/>
                </c:ext>
              </c:extLst>
            </c:dLbl>
            <c:dLbl>
              <c:idx val="1"/>
              <c:spPr>
                <a:noFill/>
                <a:ln>
                  <a:noFill/>
                </a:ln>
                <a:effectLst/>
              </c:spPr>
              <c:txPr>
                <a:bodyPr rot="0" spcFirstLastPara="1" vertOverflow="ellipsis" vert="horz" wrap="square" anchor="ctr" anchorCtr="1"/>
                <a:lstStyle/>
                <a:p>
                  <a:pPr>
                    <a:defRPr sz="1200" b="1" i="0" u="none" strike="noStrike" kern="1200" spc="0" baseline="0">
                      <a:solidFill>
                        <a:schemeClr val="accent4"/>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0"/>
              <c:showCatName val="1"/>
              <c:showSerName val="0"/>
              <c:showPercent val="1"/>
              <c:showBubbleSize val="0"/>
              <c:extLst>
                <c:ext xmlns:c16="http://schemas.microsoft.com/office/drawing/2014/chart" uri="{C3380CC4-5D6E-409C-BE32-E72D297353CC}">
                  <c16:uniqueId val="{0000001C-EFA4-47D9-A1A0-961253FA7B24}"/>
                </c:ext>
              </c:extLst>
            </c:dLbl>
            <c:dLbl>
              <c:idx val="2"/>
              <c:spPr>
                <a:noFill/>
                <a:ln>
                  <a:noFill/>
                </a:ln>
                <a:effectLst/>
              </c:spPr>
              <c:txPr>
                <a:bodyPr rot="0" spcFirstLastPara="1" vertOverflow="ellipsis" vert="horz" wrap="square" anchor="ctr" anchorCtr="1"/>
                <a:lstStyle/>
                <a:p>
                  <a:pPr>
                    <a:defRPr sz="1200" b="1" i="0" u="none" strike="noStrike" kern="1200" spc="0" baseline="0">
                      <a:solidFill>
                        <a:schemeClr val="accent6"/>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0"/>
              <c:showCatName val="1"/>
              <c:showSerName val="0"/>
              <c:showPercent val="1"/>
              <c:showBubbleSize val="0"/>
              <c:extLst>
                <c:ext xmlns:c16="http://schemas.microsoft.com/office/drawing/2014/chart" uri="{C3380CC4-5D6E-409C-BE32-E72D297353CC}">
                  <c16:uniqueId val="{0000001E-EFA4-47D9-A1A0-961253FA7B24}"/>
                </c:ext>
              </c:extLst>
            </c:dLbl>
            <c:dLbl>
              <c:idx val="3"/>
              <c:spPr>
                <a:noFill/>
                <a:ln>
                  <a:noFill/>
                </a:ln>
                <a:effectLst/>
              </c:spPr>
              <c:txPr>
                <a:bodyPr rot="0" spcFirstLastPara="1" vertOverflow="ellipsis" vert="horz" wrap="square" anchor="ctr" anchorCtr="1"/>
                <a:lstStyle/>
                <a:p>
                  <a:pPr>
                    <a:defRPr sz="1200" b="1" i="0" u="none" strike="noStrike" kern="1200" spc="0" baseline="0">
                      <a:solidFill>
                        <a:schemeClr val="accent2">
                          <a:lumMod val="60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0"/>
              <c:showCatName val="1"/>
              <c:showSerName val="0"/>
              <c:showPercent val="1"/>
              <c:showBubbleSize val="0"/>
              <c:extLst>
                <c:ext xmlns:c16="http://schemas.microsoft.com/office/drawing/2014/chart" uri="{C3380CC4-5D6E-409C-BE32-E72D297353CC}">
                  <c16:uniqueId val="{00000020-EFA4-47D9-A1A0-961253FA7B24}"/>
                </c:ext>
              </c:extLst>
            </c:dLbl>
            <c:dLbl>
              <c:idx val="4"/>
              <c:spPr>
                <a:noFill/>
                <a:ln>
                  <a:noFill/>
                </a:ln>
                <a:effectLst/>
              </c:spPr>
              <c:txPr>
                <a:bodyPr rot="0" spcFirstLastPara="1" vertOverflow="ellipsis" vert="horz" wrap="square" anchor="ctr" anchorCtr="1"/>
                <a:lstStyle/>
                <a:p>
                  <a:pPr>
                    <a:defRPr sz="1200" b="1" i="0" u="none" strike="noStrike" kern="1200" spc="0" baseline="0">
                      <a:solidFill>
                        <a:schemeClr val="accent4">
                          <a:lumMod val="60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0"/>
              <c:showCatName val="1"/>
              <c:showSerName val="0"/>
              <c:showPercent val="1"/>
              <c:showBubbleSize val="0"/>
              <c:extLst>
                <c:ext xmlns:c16="http://schemas.microsoft.com/office/drawing/2014/chart" uri="{C3380CC4-5D6E-409C-BE32-E72D297353CC}">
                  <c16:uniqueId val="{00000022-EFA4-47D9-A1A0-961253FA7B24}"/>
                </c:ext>
              </c:extLst>
            </c:dLbl>
            <c:dLbl>
              <c:idx val="5"/>
              <c:spPr>
                <a:noFill/>
                <a:ln>
                  <a:noFill/>
                </a:ln>
                <a:effectLst/>
              </c:spPr>
              <c:txPr>
                <a:bodyPr rot="0" spcFirstLastPara="1" vertOverflow="ellipsis" vert="horz" wrap="square" anchor="ctr" anchorCtr="1"/>
                <a:lstStyle/>
                <a:p>
                  <a:pPr>
                    <a:defRPr sz="1200" b="1" i="0" u="none" strike="noStrike" kern="1200" spc="0" baseline="0">
                      <a:solidFill>
                        <a:schemeClr val="accent6">
                          <a:lumMod val="60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0"/>
              <c:showCatName val="1"/>
              <c:showSerName val="0"/>
              <c:showPercent val="1"/>
              <c:showBubbleSize val="0"/>
              <c:extLst>
                <c:ext xmlns:c16="http://schemas.microsoft.com/office/drawing/2014/chart" uri="{C3380CC4-5D6E-409C-BE32-E72D297353CC}">
                  <c16:uniqueId val="{00000024-EFA4-47D9-A1A0-961253FA7B24}"/>
                </c:ext>
              </c:extLst>
            </c:dLbl>
            <c:dLbl>
              <c:idx val="6"/>
              <c:spPr>
                <a:noFill/>
                <a:ln>
                  <a:noFill/>
                </a:ln>
                <a:effectLst/>
              </c:spPr>
              <c:txPr>
                <a:bodyPr rot="0" spcFirstLastPara="1" vertOverflow="ellipsis" vert="horz" wrap="square" anchor="ctr" anchorCtr="1"/>
                <a:lstStyle/>
                <a:p>
                  <a:pPr>
                    <a:defRPr sz="1200" b="1" i="0" u="none" strike="noStrike" kern="1200" spc="0" baseline="0">
                      <a:solidFill>
                        <a:schemeClr val="accent2">
                          <a:lumMod val="80000"/>
                          <a:lumOff val="20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0"/>
              <c:showCatName val="1"/>
              <c:showSerName val="0"/>
              <c:showPercent val="1"/>
              <c:showBubbleSize val="0"/>
              <c:extLst>
                <c:ext xmlns:c16="http://schemas.microsoft.com/office/drawing/2014/chart" uri="{C3380CC4-5D6E-409C-BE32-E72D297353CC}">
                  <c16:uniqueId val="{00000026-EFA4-47D9-A1A0-961253FA7B24}"/>
                </c:ext>
              </c:extLst>
            </c:dLbl>
            <c:dLbl>
              <c:idx val="7"/>
              <c:spPr>
                <a:noFill/>
                <a:ln>
                  <a:noFill/>
                </a:ln>
                <a:effectLst/>
              </c:spPr>
              <c:txPr>
                <a:bodyPr rot="0" spcFirstLastPara="1" vertOverflow="ellipsis" vert="horz" wrap="square" anchor="ctr" anchorCtr="1"/>
                <a:lstStyle/>
                <a:p>
                  <a:pPr>
                    <a:defRPr sz="1200" b="1" i="0" u="none" strike="noStrike" kern="1200" spc="0" baseline="0">
                      <a:solidFill>
                        <a:schemeClr val="accent4">
                          <a:lumMod val="80000"/>
                          <a:lumOff val="20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0"/>
              <c:showCatName val="1"/>
              <c:showSerName val="0"/>
              <c:showPercent val="1"/>
              <c:showBubbleSize val="0"/>
              <c:extLst>
                <c:ext xmlns:c16="http://schemas.microsoft.com/office/drawing/2014/chart" uri="{C3380CC4-5D6E-409C-BE32-E72D297353CC}">
                  <c16:uniqueId val="{00000028-EFA4-47D9-A1A0-961253FA7B24}"/>
                </c:ext>
              </c:extLst>
            </c:dLbl>
            <c:dLbl>
              <c:idx val="8"/>
              <c:spPr>
                <a:noFill/>
                <a:ln>
                  <a:noFill/>
                </a:ln>
                <a:effectLst/>
              </c:spPr>
              <c:txPr>
                <a:bodyPr rot="0" spcFirstLastPara="1" vertOverflow="ellipsis" vert="horz" wrap="square" anchor="ctr" anchorCtr="1"/>
                <a:lstStyle/>
                <a:p>
                  <a:pPr>
                    <a:defRPr sz="1200" b="1" i="0" u="none" strike="noStrike" kern="1200" spc="0" baseline="0">
                      <a:solidFill>
                        <a:schemeClr val="accent6">
                          <a:lumMod val="80000"/>
                          <a:lumOff val="20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0"/>
              <c:showCatName val="1"/>
              <c:showSerName val="0"/>
              <c:showPercent val="1"/>
              <c:showBubbleSize val="0"/>
              <c:extLst>
                <c:ext xmlns:c16="http://schemas.microsoft.com/office/drawing/2014/chart" uri="{C3380CC4-5D6E-409C-BE32-E72D297353CC}">
                  <c16:uniqueId val="{0000002A-EFA4-47D9-A1A0-961253FA7B24}"/>
                </c:ext>
              </c:extLst>
            </c:dLbl>
            <c:dLbl>
              <c:idx val="9"/>
              <c:spPr>
                <a:noFill/>
                <a:ln>
                  <a:noFill/>
                </a:ln>
                <a:effectLst/>
              </c:spPr>
              <c:txPr>
                <a:bodyPr rot="0" spcFirstLastPara="1" vertOverflow="ellipsis" vert="horz" wrap="square" anchor="ctr" anchorCtr="1"/>
                <a:lstStyle/>
                <a:p>
                  <a:pPr>
                    <a:defRPr sz="1200" b="1" i="0" u="none" strike="noStrike" kern="1200" spc="0" baseline="0">
                      <a:solidFill>
                        <a:schemeClr val="accent2">
                          <a:lumMod val="80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0"/>
              <c:showCatName val="1"/>
              <c:showSerName val="0"/>
              <c:showPercent val="1"/>
              <c:showBubbleSize val="0"/>
              <c:extLst>
                <c:ext xmlns:c16="http://schemas.microsoft.com/office/drawing/2014/chart" uri="{C3380CC4-5D6E-409C-BE32-E72D297353CC}">
                  <c16:uniqueId val="{0000002C-EFA4-47D9-A1A0-961253FA7B24}"/>
                </c:ext>
              </c:extLst>
            </c:dLbl>
            <c:dLbl>
              <c:idx val="10"/>
              <c:spPr>
                <a:noFill/>
                <a:ln>
                  <a:noFill/>
                </a:ln>
                <a:effectLst/>
              </c:spPr>
              <c:txPr>
                <a:bodyPr rot="0" spcFirstLastPara="1" vertOverflow="ellipsis" vert="horz" wrap="square" anchor="ctr" anchorCtr="1"/>
                <a:lstStyle/>
                <a:p>
                  <a:pPr>
                    <a:defRPr sz="1200" b="1" i="0" u="none" strike="noStrike" kern="1200" spc="0" baseline="0">
                      <a:solidFill>
                        <a:schemeClr val="accent4">
                          <a:lumMod val="80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0"/>
              <c:showCatName val="1"/>
              <c:showSerName val="0"/>
              <c:showPercent val="1"/>
              <c:showBubbleSize val="0"/>
              <c:extLst>
                <c:ext xmlns:c16="http://schemas.microsoft.com/office/drawing/2014/chart" uri="{C3380CC4-5D6E-409C-BE32-E72D297353CC}">
                  <c16:uniqueId val="{0000002E-EFA4-47D9-A1A0-961253FA7B24}"/>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Lapa1!$B$11:$B$21</c:f>
              <c:strCache>
                <c:ptCount val="11"/>
                <c:pt idx="0">
                  <c:v>GMI pabalsts</c:v>
                </c:pt>
                <c:pt idx="1">
                  <c:v>mājokļa pabalsts  </c:v>
                </c:pt>
                <c:pt idx="2">
                  <c:v>recepšu medikamentiem</c:v>
                </c:pt>
                <c:pt idx="3">
                  <c:v>pabalsts bērnu izglītībai</c:v>
                </c:pt>
                <c:pt idx="4">
                  <c:v>pabalsti bāreņiem</c:v>
                </c:pt>
                <c:pt idx="5">
                  <c:v>pabalsti audžuģimenēm</c:v>
                </c:pt>
                <c:pt idx="6">
                  <c:v>apbedīšanas pabalsts</c:v>
                </c:pt>
                <c:pt idx="7">
                  <c:v>pabalsts jubilejā</c:v>
                </c:pt>
                <c:pt idx="8">
                  <c:v>krīzes situācijā</c:v>
                </c:pt>
                <c:pt idx="9">
                  <c:v>pabalsts jaundzimušo aprūpei</c:v>
                </c:pt>
                <c:pt idx="10">
                  <c:v>svētku pabalsts politiski represētiem, ČAES dalībniekiem</c:v>
                </c:pt>
              </c:strCache>
            </c:strRef>
          </c:cat>
          <c:val>
            <c:numRef>
              <c:f>Lapa1!$F$11:$F$21</c:f>
              <c:numCache>
                <c:formatCode>0.00</c:formatCode>
                <c:ptCount val="11"/>
                <c:pt idx="0">
                  <c:v>220669.27</c:v>
                </c:pt>
                <c:pt idx="1">
                  <c:v>329103.38</c:v>
                </c:pt>
                <c:pt idx="2">
                  <c:v>75120.33</c:v>
                </c:pt>
                <c:pt idx="3">
                  <c:v>11400</c:v>
                </c:pt>
                <c:pt idx="4">
                  <c:v>48546.06</c:v>
                </c:pt>
                <c:pt idx="5">
                  <c:v>87810.18</c:v>
                </c:pt>
                <c:pt idx="6">
                  <c:v>31309.040000000001</c:v>
                </c:pt>
                <c:pt idx="7">
                  <c:v>71000</c:v>
                </c:pt>
                <c:pt idx="8">
                  <c:v>5495</c:v>
                </c:pt>
                <c:pt idx="9">
                  <c:v>66600</c:v>
                </c:pt>
                <c:pt idx="10">
                  <c:v>14600</c:v>
                </c:pt>
              </c:numCache>
            </c:numRef>
          </c:val>
          <c:extLst>
            <c:ext xmlns:c16="http://schemas.microsoft.com/office/drawing/2014/chart" uri="{C3380CC4-5D6E-409C-BE32-E72D297353CC}">
              <c16:uniqueId val="{0000002F-EFA4-47D9-A1A0-961253FA7B24}"/>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S</a:t>
            </a:r>
            <a:r>
              <a:rPr lang="lv-LV" sz="1200" b="1">
                <a:latin typeface="Times New Roman" panose="02020603050405020304" pitchFamily="18" charset="0"/>
                <a:cs typeface="Times New Roman" panose="02020603050405020304" pitchFamily="18" charset="0"/>
              </a:rPr>
              <a:t>alīdzinājums</a:t>
            </a:r>
            <a:r>
              <a:rPr lang="lv-LV" sz="1200" b="1" baseline="0">
                <a:latin typeface="Times New Roman" panose="02020603050405020304" pitchFamily="18" charset="0"/>
                <a:cs typeface="Times New Roman" panose="02020603050405020304" pitchFamily="18" charset="0"/>
              </a:rPr>
              <a:t> par sniegto sociālo palīdzību (EUR)</a:t>
            </a:r>
            <a:endParaRPr lang="en-US" sz="12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bar"/>
        <c:grouping val="clustered"/>
        <c:varyColors val="0"/>
        <c:ser>
          <c:idx val="0"/>
          <c:order val="0"/>
          <c:tx>
            <c:strRef>
              <c:f>Lapa1!$B$1</c:f>
              <c:strCache>
                <c:ptCount val="1"/>
                <c:pt idx="0">
                  <c:v>2021.gads</c:v>
                </c:pt>
              </c:strCache>
            </c:strRef>
          </c:tx>
          <c:spPr>
            <a:solidFill>
              <a:schemeClr val="accent1"/>
            </a:solidFill>
            <a:ln>
              <a:noFill/>
            </a:ln>
            <a:effectLst/>
          </c:spPr>
          <c:invertIfNegative val="0"/>
          <c:cat>
            <c:strRef>
              <c:f>Lapa1!$A$2:$A$14</c:f>
              <c:strCache>
                <c:ptCount val="13"/>
                <c:pt idx="0">
                  <c:v>GMI pabalsts</c:v>
                </c:pt>
                <c:pt idx="1">
                  <c:v>Mājokļa pabalsts</c:v>
                </c:pt>
                <c:pt idx="2">
                  <c:v>Veselības pabalsts</c:v>
                </c:pt>
                <c:pt idx="3">
                  <c:v>Pabalsts bērna izglītībai</c:v>
                </c:pt>
                <c:pt idx="4">
                  <c:v>Pabalsts bāreņiem</c:v>
                </c:pt>
                <c:pt idx="5">
                  <c:v>Pabalsts audžuģimenēm</c:v>
                </c:pt>
                <c:pt idx="6">
                  <c:v>Pabalsts krīzes situācijā</c:v>
                </c:pt>
                <c:pt idx="7">
                  <c:v>Apbedīšanas oabalsts</c:v>
                </c:pt>
                <c:pt idx="8">
                  <c:v>Pabalsts jubilejā</c:v>
                </c:pt>
                <c:pt idx="9">
                  <c:v>Svētku pabalsts ČAES </c:v>
                </c:pt>
                <c:pt idx="10">
                  <c:v>Politiski represētiem</c:v>
                </c:pt>
                <c:pt idx="11">
                  <c:v>Pabalsts jaundzimušajiem</c:v>
                </c:pt>
                <c:pt idx="12">
                  <c:v>Citi</c:v>
                </c:pt>
              </c:strCache>
            </c:strRef>
          </c:cat>
          <c:val>
            <c:numRef>
              <c:f>Lapa1!$B$2:$B$14</c:f>
              <c:numCache>
                <c:formatCode>General</c:formatCode>
                <c:ptCount val="13"/>
                <c:pt idx="0">
                  <c:v>243436.04</c:v>
                </c:pt>
                <c:pt idx="1">
                  <c:v>217961.75</c:v>
                </c:pt>
                <c:pt idx="2">
                  <c:v>129012.61</c:v>
                </c:pt>
                <c:pt idx="3">
                  <c:v>41705</c:v>
                </c:pt>
                <c:pt idx="4">
                  <c:v>43540.5</c:v>
                </c:pt>
                <c:pt idx="5">
                  <c:v>87127.39</c:v>
                </c:pt>
                <c:pt idx="6">
                  <c:v>4940.42</c:v>
                </c:pt>
                <c:pt idx="7">
                  <c:v>23412.66</c:v>
                </c:pt>
                <c:pt idx="8">
                  <c:v>57850</c:v>
                </c:pt>
                <c:pt idx="9">
                  <c:v>2350</c:v>
                </c:pt>
                <c:pt idx="10">
                  <c:v>11350</c:v>
                </c:pt>
                <c:pt idx="11">
                  <c:v>55150</c:v>
                </c:pt>
                <c:pt idx="12">
                  <c:v>85631.48</c:v>
                </c:pt>
              </c:numCache>
            </c:numRef>
          </c:val>
          <c:extLst>
            <c:ext xmlns:c16="http://schemas.microsoft.com/office/drawing/2014/chart" uri="{C3380CC4-5D6E-409C-BE32-E72D297353CC}">
              <c16:uniqueId val="{00000000-5A6E-4B4F-8D8D-E249F2E63A85}"/>
            </c:ext>
          </c:extLst>
        </c:ser>
        <c:ser>
          <c:idx val="1"/>
          <c:order val="1"/>
          <c:tx>
            <c:strRef>
              <c:f>Lapa1!$C$1</c:f>
              <c:strCache>
                <c:ptCount val="1"/>
                <c:pt idx="0">
                  <c:v>2022.gads</c:v>
                </c:pt>
              </c:strCache>
            </c:strRef>
          </c:tx>
          <c:spPr>
            <a:solidFill>
              <a:schemeClr val="accent2"/>
            </a:solidFill>
            <a:ln>
              <a:noFill/>
            </a:ln>
            <a:effectLst/>
          </c:spPr>
          <c:invertIfNegative val="0"/>
          <c:cat>
            <c:strRef>
              <c:f>Lapa1!$A$2:$A$14</c:f>
              <c:strCache>
                <c:ptCount val="13"/>
                <c:pt idx="0">
                  <c:v>GMI pabalsts</c:v>
                </c:pt>
                <c:pt idx="1">
                  <c:v>Mājokļa pabalsts</c:v>
                </c:pt>
                <c:pt idx="2">
                  <c:v>Veselības pabalsts</c:v>
                </c:pt>
                <c:pt idx="3">
                  <c:v>Pabalsts bērna izglītībai</c:v>
                </c:pt>
                <c:pt idx="4">
                  <c:v>Pabalsts bāreņiem</c:v>
                </c:pt>
                <c:pt idx="5">
                  <c:v>Pabalsts audžuģimenēm</c:v>
                </c:pt>
                <c:pt idx="6">
                  <c:v>Pabalsts krīzes situācijā</c:v>
                </c:pt>
                <c:pt idx="7">
                  <c:v>Apbedīšanas oabalsts</c:v>
                </c:pt>
                <c:pt idx="8">
                  <c:v>Pabalsts jubilejā</c:v>
                </c:pt>
                <c:pt idx="9">
                  <c:v>Svētku pabalsts ČAES </c:v>
                </c:pt>
                <c:pt idx="10">
                  <c:v>Politiski represētiem</c:v>
                </c:pt>
                <c:pt idx="11">
                  <c:v>Pabalsts jaundzimušajiem</c:v>
                </c:pt>
                <c:pt idx="12">
                  <c:v>Citi</c:v>
                </c:pt>
              </c:strCache>
            </c:strRef>
          </c:cat>
          <c:val>
            <c:numRef>
              <c:f>Lapa1!$C$2:$C$14</c:f>
              <c:numCache>
                <c:formatCode>General</c:formatCode>
                <c:ptCount val="13"/>
                <c:pt idx="0">
                  <c:v>220669.27</c:v>
                </c:pt>
                <c:pt idx="1">
                  <c:v>329103.38</c:v>
                </c:pt>
                <c:pt idx="2">
                  <c:v>75120.33</c:v>
                </c:pt>
                <c:pt idx="3">
                  <c:v>44475</c:v>
                </c:pt>
                <c:pt idx="4">
                  <c:v>48546.06</c:v>
                </c:pt>
                <c:pt idx="5">
                  <c:v>87810.18</c:v>
                </c:pt>
                <c:pt idx="6">
                  <c:v>5495</c:v>
                </c:pt>
                <c:pt idx="7">
                  <c:v>31309.040000000001</c:v>
                </c:pt>
                <c:pt idx="8">
                  <c:v>71000</c:v>
                </c:pt>
                <c:pt idx="9">
                  <c:v>2450</c:v>
                </c:pt>
                <c:pt idx="10">
                  <c:v>12150</c:v>
                </c:pt>
                <c:pt idx="11">
                  <c:v>66600</c:v>
                </c:pt>
                <c:pt idx="12">
                  <c:v>132416.48000000001</c:v>
                </c:pt>
              </c:numCache>
            </c:numRef>
          </c:val>
          <c:extLst>
            <c:ext xmlns:c16="http://schemas.microsoft.com/office/drawing/2014/chart" uri="{C3380CC4-5D6E-409C-BE32-E72D297353CC}">
              <c16:uniqueId val="{00000001-5A6E-4B4F-8D8D-E249F2E63A85}"/>
            </c:ext>
          </c:extLst>
        </c:ser>
        <c:dLbls>
          <c:showLegendKey val="0"/>
          <c:showVal val="0"/>
          <c:showCatName val="0"/>
          <c:showSerName val="0"/>
          <c:showPercent val="0"/>
          <c:showBubbleSize val="0"/>
        </c:dLbls>
        <c:gapWidth val="182"/>
        <c:axId val="1284529008"/>
        <c:axId val="1284380752"/>
      </c:barChart>
      <c:catAx>
        <c:axId val="12845290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284380752"/>
        <c:crosses val="autoZero"/>
        <c:auto val="1"/>
        <c:lblAlgn val="ctr"/>
        <c:lblOffset val="100"/>
        <c:noMultiLvlLbl val="0"/>
      </c:catAx>
      <c:valAx>
        <c:axId val="12843807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284529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SAC</a:t>
            </a:r>
            <a:r>
              <a:rPr lang="lv-LV" sz="1200">
                <a:latin typeface="Times New Roman" panose="02020603050405020304" pitchFamily="18" charset="0"/>
                <a:cs typeface="Times New Roman" panose="02020603050405020304" pitchFamily="18" charset="0"/>
              </a:rPr>
              <a:t> izmaksu salīdzinājums</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lv-LV"/>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Lapa1!$B$1</c:f>
              <c:strCache>
                <c:ptCount val="1"/>
                <c:pt idx="0">
                  <c:v>2021.klientu skaits</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Lapa1!$A$2:$A$9</c:f>
              <c:strCache>
                <c:ptCount val="8"/>
                <c:pt idx="0">
                  <c:v>Barkava</c:v>
                </c:pt>
                <c:pt idx="1">
                  <c:v>Dzelzava</c:v>
                </c:pt>
                <c:pt idx="2">
                  <c:v>Mārciena</c:v>
                </c:pt>
                <c:pt idx="3">
                  <c:v>Ļaudona</c:v>
                </c:pt>
                <c:pt idx="4">
                  <c:v>Cesvaine</c:v>
                </c:pt>
                <c:pt idx="5">
                  <c:v>Lubāna</c:v>
                </c:pt>
                <c:pt idx="6">
                  <c:v>Ērgļi</c:v>
                </c:pt>
                <c:pt idx="7">
                  <c:v>Ozolu b/n</c:v>
                </c:pt>
              </c:strCache>
            </c:strRef>
          </c:cat>
          <c:val>
            <c:numRef>
              <c:f>Lapa1!$B$2:$B$9</c:f>
              <c:numCache>
                <c:formatCode>General</c:formatCode>
                <c:ptCount val="8"/>
                <c:pt idx="0">
                  <c:v>32</c:v>
                </c:pt>
                <c:pt idx="1">
                  <c:v>26</c:v>
                </c:pt>
                <c:pt idx="2">
                  <c:v>59</c:v>
                </c:pt>
                <c:pt idx="3">
                  <c:v>28</c:v>
                </c:pt>
                <c:pt idx="4">
                  <c:v>20</c:v>
                </c:pt>
                <c:pt idx="5">
                  <c:v>39</c:v>
                </c:pt>
                <c:pt idx="6">
                  <c:v>99</c:v>
                </c:pt>
                <c:pt idx="7">
                  <c:v>16</c:v>
                </c:pt>
              </c:numCache>
            </c:numRef>
          </c:val>
          <c:extLst>
            <c:ext xmlns:c16="http://schemas.microsoft.com/office/drawing/2014/chart" uri="{C3380CC4-5D6E-409C-BE32-E72D297353CC}">
              <c16:uniqueId val="{00000000-19E7-4F35-BBFE-F3AAAE148662}"/>
            </c:ext>
          </c:extLst>
        </c:ser>
        <c:ser>
          <c:idx val="1"/>
          <c:order val="1"/>
          <c:tx>
            <c:strRef>
              <c:f>Lapa1!$C$1</c:f>
              <c:strCache>
                <c:ptCount val="1"/>
                <c:pt idx="0">
                  <c:v>2021. g. summa izlietotā</c:v>
                </c:pt>
              </c:strCache>
            </c:strRef>
          </c:tx>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invertIfNegative val="0"/>
          <c:cat>
            <c:strRef>
              <c:f>Lapa1!$A$2:$A$9</c:f>
              <c:strCache>
                <c:ptCount val="8"/>
                <c:pt idx="0">
                  <c:v>Barkava</c:v>
                </c:pt>
                <c:pt idx="1">
                  <c:v>Dzelzava</c:v>
                </c:pt>
                <c:pt idx="2">
                  <c:v>Mārciena</c:v>
                </c:pt>
                <c:pt idx="3">
                  <c:v>Ļaudona</c:v>
                </c:pt>
                <c:pt idx="4">
                  <c:v>Cesvaine</c:v>
                </c:pt>
                <c:pt idx="5">
                  <c:v>Lubāna</c:v>
                </c:pt>
                <c:pt idx="6">
                  <c:v>Ērgļi</c:v>
                </c:pt>
                <c:pt idx="7">
                  <c:v>Ozolu b/n</c:v>
                </c:pt>
              </c:strCache>
            </c:strRef>
          </c:cat>
          <c:val>
            <c:numRef>
              <c:f>Lapa1!$C$2:$C$9</c:f>
              <c:numCache>
                <c:formatCode>General</c:formatCode>
                <c:ptCount val="8"/>
                <c:pt idx="0">
                  <c:v>291499</c:v>
                </c:pt>
                <c:pt idx="1">
                  <c:v>258238</c:v>
                </c:pt>
                <c:pt idx="2">
                  <c:v>543207</c:v>
                </c:pt>
                <c:pt idx="3">
                  <c:v>219033</c:v>
                </c:pt>
                <c:pt idx="4">
                  <c:v>194376</c:v>
                </c:pt>
                <c:pt idx="5">
                  <c:v>365516</c:v>
                </c:pt>
                <c:pt idx="6">
                  <c:v>685394</c:v>
                </c:pt>
                <c:pt idx="7">
                  <c:v>166801</c:v>
                </c:pt>
              </c:numCache>
            </c:numRef>
          </c:val>
          <c:extLst>
            <c:ext xmlns:c16="http://schemas.microsoft.com/office/drawing/2014/chart" uri="{C3380CC4-5D6E-409C-BE32-E72D297353CC}">
              <c16:uniqueId val="{00000001-19E7-4F35-BBFE-F3AAAE148662}"/>
            </c:ext>
          </c:extLst>
        </c:ser>
        <c:ser>
          <c:idx val="2"/>
          <c:order val="2"/>
          <c:tx>
            <c:strRef>
              <c:f>Lapa1!$D$1</c:f>
              <c:strCache>
                <c:ptCount val="1"/>
                <c:pt idx="0">
                  <c:v>2022. klientu skaits</c:v>
                </c:pt>
              </c:strCache>
            </c:strRef>
          </c:tx>
          <c:spPr>
            <a:solidFill>
              <a:schemeClr val="accent6">
                <a:alpha val="85000"/>
              </a:schemeClr>
            </a:solidFill>
            <a:ln w="9525" cap="flat" cmpd="sng" algn="ctr">
              <a:solidFill>
                <a:schemeClr val="accent6">
                  <a:lumMod val="75000"/>
                </a:schemeClr>
              </a:solidFill>
              <a:round/>
            </a:ln>
            <a:effectLst/>
            <a:sp3d contourW="9525">
              <a:contourClr>
                <a:schemeClr val="accent6">
                  <a:lumMod val="75000"/>
                </a:schemeClr>
              </a:contourClr>
            </a:sp3d>
          </c:spPr>
          <c:invertIfNegative val="0"/>
          <c:cat>
            <c:strRef>
              <c:f>Lapa1!$A$2:$A$9</c:f>
              <c:strCache>
                <c:ptCount val="8"/>
                <c:pt idx="0">
                  <c:v>Barkava</c:v>
                </c:pt>
                <c:pt idx="1">
                  <c:v>Dzelzava</c:v>
                </c:pt>
                <c:pt idx="2">
                  <c:v>Mārciena</c:v>
                </c:pt>
                <c:pt idx="3">
                  <c:v>Ļaudona</c:v>
                </c:pt>
                <c:pt idx="4">
                  <c:v>Cesvaine</c:v>
                </c:pt>
                <c:pt idx="5">
                  <c:v>Lubāna</c:v>
                </c:pt>
                <c:pt idx="6">
                  <c:v>Ērgļi</c:v>
                </c:pt>
                <c:pt idx="7">
                  <c:v>Ozolu b/n</c:v>
                </c:pt>
              </c:strCache>
            </c:strRef>
          </c:cat>
          <c:val>
            <c:numRef>
              <c:f>Lapa1!$D$2:$D$9</c:f>
              <c:numCache>
                <c:formatCode>General</c:formatCode>
                <c:ptCount val="8"/>
                <c:pt idx="0">
                  <c:v>32</c:v>
                </c:pt>
                <c:pt idx="1">
                  <c:v>25</c:v>
                </c:pt>
                <c:pt idx="2">
                  <c:v>58</c:v>
                </c:pt>
                <c:pt idx="3">
                  <c:v>28</c:v>
                </c:pt>
                <c:pt idx="4">
                  <c:v>18</c:v>
                </c:pt>
                <c:pt idx="5">
                  <c:v>39</c:v>
                </c:pt>
                <c:pt idx="6">
                  <c:v>85</c:v>
                </c:pt>
                <c:pt idx="7">
                  <c:v>12</c:v>
                </c:pt>
              </c:numCache>
            </c:numRef>
          </c:val>
          <c:extLst>
            <c:ext xmlns:c16="http://schemas.microsoft.com/office/drawing/2014/chart" uri="{C3380CC4-5D6E-409C-BE32-E72D297353CC}">
              <c16:uniqueId val="{00000002-19E7-4F35-BBFE-F3AAAE148662}"/>
            </c:ext>
          </c:extLst>
        </c:ser>
        <c:ser>
          <c:idx val="3"/>
          <c:order val="3"/>
          <c:tx>
            <c:strRef>
              <c:f>Lapa1!$E$1</c:f>
              <c:strCache>
                <c:ptCount val="1"/>
                <c:pt idx="0">
                  <c:v>2022. g.summa izlietotā</c:v>
                </c:pt>
              </c:strCache>
            </c:strRef>
          </c:tx>
          <c:spPr>
            <a:solidFill>
              <a:schemeClr val="accent2">
                <a:lumMod val="60000"/>
                <a:alpha val="85000"/>
              </a:schemeClr>
            </a:solidFill>
            <a:ln w="9525" cap="flat" cmpd="sng" algn="ctr">
              <a:solidFill>
                <a:schemeClr val="accent2">
                  <a:lumMod val="60000"/>
                  <a:lumMod val="75000"/>
                </a:schemeClr>
              </a:solidFill>
              <a:round/>
            </a:ln>
            <a:effectLst/>
            <a:sp3d contourW="9525">
              <a:contourClr>
                <a:schemeClr val="accent2">
                  <a:lumMod val="60000"/>
                  <a:lumMod val="75000"/>
                </a:schemeClr>
              </a:contourClr>
            </a:sp3d>
          </c:spPr>
          <c:invertIfNegative val="0"/>
          <c:cat>
            <c:strRef>
              <c:f>Lapa1!$A$2:$A$9</c:f>
              <c:strCache>
                <c:ptCount val="8"/>
                <c:pt idx="0">
                  <c:v>Barkava</c:v>
                </c:pt>
                <c:pt idx="1">
                  <c:v>Dzelzava</c:v>
                </c:pt>
                <c:pt idx="2">
                  <c:v>Mārciena</c:v>
                </c:pt>
                <c:pt idx="3">
                  <c:v>Ļaudona</c:v>
                </c:pt>
                <c:pt idx="4">
                  <c:v>Cesvaine</c:v>
                </c:pt>
                <c:pt idx="5">
                  <c:v>Lubāna</c:v>
                </c:pt>
                <c:pt idx="6">
                  <c:v>Ērgļi</c:v>
                </c:pt>
                <c:pt idx="7">
                  <c:v>Ozolu b/n</c:v>
                </c:pt>
              </c:strCache>
            </c:strRef>
          </c:cat>
          <c:val>
            <c:numRef>
              <c:f>Lapa1!$E$2:$E$9</c:f>
              <c:numCache>
                <c:formatCode>General</c:formatCode>
                <c:ptCount val="8"/>
                <c:pt idx="0">
                  <c:v>315787</c:v>
                </c:pt>
                <c:pt idx="1">
                  <c:v>262006</c:v>
                </c:pt>
                <c:pt idx="2">
                  <c:v>585742</c:v>
                </c:pt>
                <c:pt idx="3">
                  <c:v>234283</c:v>
                </c:pt>
                <c:pt idx="4">
                  <c:v>171811</c:v>
                </c:pt>
                <c:pt idx="5">
                  <c:v>372023</c:v>
                </c:pt>
                <c:pt idx="6">
                  <c:v>760141</c:v>
                </c:pt>
                <c:pt idx="7">
                  <c:v>204712</c:v>
                </c:pt>
              </c:numCache>
            </c:numRef>
          </c:val>
          <c:extLst>
            <c:ext xmlns:c16="http://schemas.microsoft.com/office/drawing/2014/chart" uri="{C3380CC4-5D6E-409C-BE32-E72D297353CC}">
              <c16:uniqueId val="{00000003-19E7-4F35-BBFE-F3AAAE148662}"/>
            </c:ext>
          </c:extLst>
        </c:ser>
        <c:dLbls>
          <c:showLegendKey val="0"/>
          <c:showVal val="0"/>
          <c:showCatName val="0"/>
          <c:showSerName val="0"/>
          <c:showPercent val="0"/>
          <c:showBubbleSize val="0"/>
        </c:dLbls>
        <c:gapWidth val="65"/>
        <c:shape val="box"/>
        <c:axId val="403226832"/>
        <c:axId val="403229784"/>
        <c:axId val="0"/>
      </c:bar3DChart>
      <c:catAx>
        <c:axId val="40322683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lv-LV"/>
          </a:p>
        </c:txPr>
        <c:crossAx val="403229784"/>
        <c:crosses val="autoZero"/>
        <c:auto val="1"/>
        <c:lblAlgn val="ctr"/>
        <c:lblOffset val="100"/>
        <c:noMultiLvlLbl val="0"/>
      </c:catAx>
      <c:valAx>
        <c:axId val="40322978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crossAx val="403226832"/>
        <c:crosses val="autoZero"/>
        <c:crossBetween val="between"/>
      </c:valAx>
      <c:dTable>
        <c:showHorzBorder val="1"/>
        <c:showVertBorder val="1"/>
        <c:showOutline val="1"/>
        <c:showKeys val="1"/>
        <c:spPr>
          <a:noFill/>
          <a:ln w="9525">
            <a:solidFill>
              <a:schemeClr val="dk1">
                <a:lumMod val="35000"/>
                <a:lumOff val="65000"/>
              </a:schemeClr>
            </a:solid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lv-LV"/>
          </a:p>
        </c:txPr>
      </c:dTable>
      <c:spPr>
        <a:noFill/>
        <a:ln>
          <a:noFill/>
        </a:ln>
        <a:effectLst/>
      </c:spPr>
    </c:plotArea>
    <c:legend>
      <c:legendPos val="b"/>
      <c:layout>
        <c:manualLayout>
          <c:xMode val="edge"/>
          <c:yMode val="edge"/>
          <c:x val="6.9243020376141245E-2"/>
          <c:y val="0.91825935997771579"/>
          <c:w val="0.8807568954457986"/>
          <c:h val="4.2433868537560183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E8D0C-6446-40C6-B837-6069F407E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1</Pages>
  <Words>6242</Words>
  <Characters>3559</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2023-05-17T08:33:00Z</cp:lastPrinted>
  <dcterms:created xsi:type="dcterms:W3CDTF">2023-05-15T11:46:00Z</dcterms:created>
  <dcterms:modified xsi:type="dcterms:W3CDTF">2023-05-22T17:42:00Z</dcterms:modified>
</cp:coreProperties>
</file>