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2B" w:rsidRPr="0011702B" w:rsidRDefault="0011702B" w:rsidP="0011702B">
      <w:pPr>
        <w:jc w:val="center"/>
        <w:rPr>
          <w:sz w:val="40"/>
          <w:szCs w:val="40"/>
        </w:rPr>
      </w:pPr>
      <w:r w:rsidRPr="0011702B">
        <w:rPr>
          <w:noProof/>
          <w:sz w:val="40"/>
          <w:szCs w:val="40"/>
        </w:rPr>
        <w:drawing>
          <wp:anchor distT="0" distB="0" distL="114300" distR="114300" simplePos="0" relativeHeight="251659264" behindDoc="0" locked="0" layoutInCell="1" allowOverlap="1" wp14:anchorId="1CCC9590" wp14:editId="6F927EA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02B">
        <w:rPr>
          <w:b/>
          <w:sz w:val="40"/>
          <w:szCs w:val="40"/>
        </w:rPr>
        <w:t>MADONAS NOVADA PAŠVALDĪBA</w:t>
      </w:r>
    </w:p>
    <w:p w:rsidR="0011702B" w:rsidRPr="0011702B" w:rsidRDefault="0011702B" w:rsidP="0011702B">
      <w:pPr>
        <w:spacing w:before="120"/>
        <w:jc w:val="center"/>
        <w:rPr>
          <w:spacing w:val="20"/>
        </w:rPr>
      </w:pPr>
      <w:proofErr w:type="spellStart"/>
      <w:r w:rsidRPr="0011702B">
        <w:rPr>
          <w:spacing w:val="20"/>
        </w:rPr>
        <w:t>Reģ</w:t>
      </w:r>
      <w:proofErr w:type="spellEnd"/>
      <w:r w:rsidRPr="0011702B">
        <w:rPr>
          <w:spacing w:val="20"/>
        </w:rPr>
        <w:t>. Nr. 90000054572</w:t>
      </w:r>
    </w:p>
    <w:p w:rsidR="0011702B" w:rsidRPr="0011702B" w:rsidRDefault="0011702B" w:rsidP="0011702B">
      <w:pPr>
        <w:pStyle w:val="Galvene"/>
        <w:tabs>
          <w:tab w:val="clear" w:pos="4153"/>
          <w:tab w:val="clear" w:pos="8306"/>
        </w:tabs>
        <w:jc w:val="center"/>
        <w:rPr>
          <w:rFonts w:ascii="Times New Roman" w:hAnsi="Times New Roman" w:cs="Times New Roman"/>
          <w:spacing w:val="20"/>
          <w:sz w:val="24"/>
          <w:szCs w:val="24"/>
          <w:lang w:val="lv-LV"/>
        </w:rPr>
      </w:pPr>
      <w:r w:rsidRPr="0011702B">
        <w:rPr>
          <w:rFonts w:ascii="Times New Roman" w:hAnsi="Times New Roman" w:cs="Times New Roman"/>
          <w:spacing w:val="20"/>
          <w:sz w:val="24"/>
          <w:szCs w:val="24"/>
          <w:lang w:val="lv-LV"/>
        </w:rPr>
        <w:t>Saieta laukums 1, Madona, Madonas novads, LV-4801</w:t>
      </w:r>
    </w:p>
    <w:p w:rsidR="0011702B" w:rsidRPr="0011702B" w:rsidRDefault="0011702B" w:rsidP="0011702B">
      <w:pPr>
        <w:pStyle w:val="Galvene"/>
        <w:tabs>
          <w:tab w:val="clear" w:pos="4153"/>
          <w:tab w:val="clear" w:pos="8306"/>
        </w:tabs>
        <w:jc w:val="center"/>
        <w:rPr>
          <w:rFonts w:ascii="Times New Roman" w:hAnsi="Times New Roman" w:cs="Times New Roman"/>
        </w:rPr>
      </w:pPr>
      <w:r w:rsidRPr="0011702B">
        <w:rPr>
          <w:rFonts w:ascii="Times New Roman" w:hAnsi="Times New Roman" w:cs="Times New Roman"/>
          <w:lang w:val="lv-LV"/>
        </w:rPr>
        <w:t xml:space="preserve"> t. 64860090, fakss 648600</w:t>
      </w:r>
      <w:r w:rsidRPr="0011702B">
        <w:rPr>
          <w:rFonts w:ascii="Times New Roman" w:hAnsi="Times New Roman" w:cs="Times New Roman"/>
        </w:rPr>
        <w:t xml:space="preserve">79, e-pasts: </w:t>
      </w:r>
      <w:smartTag w:uri="urn:schemas-microsoft-com:office:smarttags" w:element="PersonName">
        <w:r w:rsidRPr="0011702B">
          <w:rPr>
            <w:rFonts w:ascii="Times New Roman" w:hAnsi="Times New Roman" w:cs="Times New Roman"/>
          </w:rPr>
          <w:t>dome@madona.lv</w:t>
        </w:r>
      </w:smartTag>
      <w:r w:rsidRPr="0011702B">
        <w:rPr>
          <w:rFonts w:ascii="Times New Roman" w:hAnsi="Times New Roman" w:cs="Times New Roman"/>
        </w:rPr>
        <w:t xml:space="preserve"> </w:t>
      </w:r>
    </w:p>
    <w:p w:rsidR="0011702B" w:rsidRPr="0011702B" w:rsidRDefault="0011702B" w:rsidP="0011702B">
      <w:pPr>
        <w:pStyle w:val="Galvene"/>
        <w:tabs>
          <w:tab w:val="clear" w:pos="4153"/>
          <w:tab w:val="clear" w:pos="8306"/>
        </w:tabs>
        <w:jc w:val="center"/>
        <w:rPr>
          <w:rFonts w:ascii="Times New Roman" w:hAnsi="Times New Roman" w:cs="Times New Roman"/>
        </w:rPr>
      </w:pPr>
    </w:p>
    <w:p w:rsidR="0011702B" w:rsidRPr="0011702B" w:rsidRDefault="0011702B" w:rsidP="0011702B">
      <w:pPr>
        <w:pStyle w:val="Galvene"/>
        <w:pBdr>
          <w:top w:val="single" w:sz="4" w:space="1" w:color="auto"/>
        </w:pBdr>
        <w:tabs>
          <w:tab w:val="clear" w:pos="4153"/>
          <w:tab w:val="clear" w:pos="8306"/>
        </w:tabs>
        <w:rPr>
          <w:rFonts w:ascii="Times New Roman" w:hAnsi="Times New Roman" w:cs="Times New Roman"/>
          <w:spacing w:val="20"/>
          <w:sz w:val="24"/>
          <w:szCs w:val="24"/>
        </w:rPr>
      </w:pPr>
    </w:p>
    <w:p w:rsidR="0011702B" w:rsidRDefault="0011702B" w:rsidP="0011702B">
      <w:pPr>
        <w:jc w:val="right"/>
      </w:pPr>
      <w:r>
        <w:t>APSTIPRINĀTI</w:t>
      </w:r>
    </w:p>
    <w:p w:rsidR="0011702B" w:rsidRDefault="0011702B" w:rsidP="0011702B">
      <w:pPr>
        <w:jc w:val="right"/>
      </w:pPr>
      <w:r>
        <w:t xml:space="preserve">ar  Madonas novada pašvaldības domes </w:t>
      </w:r>
    </w:p>
    <w:p w:rsidR="0011702B" w:rsidRDefault="004979F0" w:rsidP="0011702B">
      <w:pPr>
        <w:jc w:val="right"/>
      </w:pPr>
      <w:r>
        <w:t>2014.gada 21.oktobra</w:t>
      </w:r>
      <w:r w:rsidR="0011702B">
        <w:t xml:space="preserve"> lēmumu Nr.</w:t>
      </w:r>
      <w:r w:rsidR="00D51FB8">
        <w:t>631</w:t>
      </w:r>
    </w:p>
    <w:p w:rsidR="0011702B" w:rsidRDefault="0011702B" w:rsidP="0011702B">
      <w:pPr>
        <w:jc w:val="right"/>
      </w:pPr>
      <w:r>
        <w:t xml:space="preserve"> (protokols Nr.</w:t>
      </w:r>
      <w:r w:rsidR="00D51FB8">
        <w:t>21</w:t>
      </w:r>
      <w:r>
        <w:t xml:space="preserve">; </w:t>
      </w:r>
      <w:r w:rsidR="00D51FB8">
        <w:t>39</w:t>
      </w:r>
      <w:r>
        <w:t>.p.)</w:t>
      </w:r>
    </w:p>
    <w:p w:rsidR="0011702B" w:rsidRDefault="0011702B" w:rsidP="0011702B">
      <w:pPr>
        <w:shd w:val="clear" w:color="auto" w:fill="FFFFFF"/>
        <w:spacing w:line="274" w:lineRule="exact"/>
        <w:ind w:right="667"/>
        <w:jc w:val="center"/>
        <w:rPr>
          <w:b/>
        </w:rPr>
      </w:pPr>
    </w:p>
    <w:p w:rsidR="00D51FB8" w:rsidRDefault="00D51FB8" w:rsidP="00D51FB8">
      <w:pPr>
        <w:pStyle w:val="Default"/>
        <w:jc w:val="center"/>
      </w:pPr>
      <w:r>
        <w:rPr>
          <w:b/>
          <w:bCs/>
        </w:rPr>
        <w:t xml:space="preserve">Madonas novada pašvaldības </w:t>
      </w:r>
      <w:r>
        <w:rPr>
          <w:b/>
          <w:bCs/>
        </w:rPr>
        <w:t>Saistošie noteikumi Nr.23</w:t>
      </w:r>
    </w:p>
    <w:p w:rsidR="00D51FB8" w:rsidRDefault="00D51FB8" w:rsidP="0011702B">
      <w:pPr>
        <w:pStyle w:val="Default"/>
        <w:jc w:val="center"/>
        <w:rPr>
          <w:b/>
        </w:rPr>
      </w:pPr>
    </w:p>
    <w:p w:rsidR="00D51FB8" w:rsidRDefault="00D51FB8" w:rsidP="0011702B">
      <w:pPr>
        <w:pStyle w:val="Default"/>
        <w:jc w:val="center"/>
        <w:rPr>
          <w:b/>
        </w:rPr>
      </w:pPr>
    </w:p>
    <w:p w:rsidR="0011702B" w:rsidRPr="00A7020F" w:rsidRDefault="0011702B" w:rsidP="0011702B">
      <w:pPr>
        <w:pStyle w:val="Default"/>
        <w:jc w:val="center"/>
        <w:rPr>
          <w:b/>
        </w:rPr>
      </w:pPr>
      <w:r>
        <w:rPr>
          <w:b/>
        </w:rPr>
        <w:t xml:space="preserve">Grozījumi Madonas novada pašvaldības </w:t>
      </w:r>
      <w:r w:rsidR="008A0CA3">
        <w:rPr>
          <w:b/>
        </w:rPr>
        <w:t xml:space="preserve">27.01.2011. saistošajos noteikumos </w:t>
      </w:r>
      <w:r>
        <w:rPr>
          <w:b/>
        </w:rPr>
        <w:t>N</w:t>
      </w:r>
      <w:r w:rsidRPr="00A7020F">
        <w:rPr>
          <w:b/>
        </w:rPr>
        <w:t>r.</w:t>
      </w:r>
      <w:r>
        <w:rPr>
          <w:b/>
        </w:rPr>
        <w:t>2</w:t>
      </w:r>
    </w:p>
    <w:p w:rsidR="0011702B" w:rsidRPr="00A7020F" w:rsidRDefault="0011702B" w:rsidP="0011702B">
      <w:pPr>
        <w:pStyle w:val="Default"/>
        <w:jc w:val="center"/>
        <w:rPr>
          <w:b/>
          <w:sz w:val="23"/>
          <w:szCs w:val="23"/>
        </w:rPr>
      </w:pPr>
      <w:r>
        <w:rPr>
          <w:b/>
        </w:rPr>
        <w:t>„</w:t>
      </w:r>
      <w:r w:rsidRPr="00A7020F">
        <w:rPr>
          <w:b/>
          <w:bCs/>
          <w:sz w:val="23"/>
          <w:szCs w:val="23"/>
        </w:rPr>
        <w:t>Par nekustamā īpašuma nodokļa</w:t>
      </w:r>
      <w:r w:rsidR="008A0CA3">
        <w:rPr>
          <w:b/>
          <w:bCs/>
          <w:sz w:val="23"/>
          <w:szCs w:val="23"/>
        </w:rPr>
        <w:t xml:space="preserve"> atvieglojuma noteikšanu Madonas novada pašvaldībā</w:t>
      </w:r>
      <w:r>
        <w:rPr>
          <w:b/>
          <w:bCs/>
          <w:sz w:val="23"/>
          <w:szCs w:val="23"/>
        </w:rPr>
        <w:t>”</w:t>
      </w:r>
    </w:p>
    <w:p w:rsidR="0011702B" w:rsidRPr="00D51FB8" w:rsidRDefault="00D51FB8" w:rsidP="00D51FB8">
      <w:pPr>
        <w:pStyle w:val="Default"/>
        <w:jc w:val="center"/>
      </w:pPr>
      <w:r w:rsidRPr="00D51FB8">
        <w:t>Madonā</w:t>
      </w:r>
    </w:p>
    <w:p w:rsidR="0011702B" w:rsidRPr="00A7020F" w:rsidRDefault="0011702B" w:rsidP="0011702B">
      <w:pPr>
        <w:pStyle w:val="Default"/>
        <w:jc w:val="right"/>
        <w:rPr>
          <w:i/>
          <w:sz w:val="20"/>
          <w:szCs w:val="20"/>
        </w:rPr>
      </w:pPr>
      <w:r w:rsidRPr="00A7020F">
        <w:rPr>
          <w:i/>
          <w:sz w:val="20"/>
          <w:szCs w:val="20"/>
        </w:rPr>
        <w:t>Izdoti saskaņā ar</w:t>
      </w:r>
    </w:p>
    <w:p w:rsidR="0011702B" w:rsidRPr="00A7020F" w:rsidRDefault="0011702B" w:rsidP="0011702B">
      <w:pPr>
        <w:pStyle w:val="Default"/>
        <w:jc w:val="right"/>
        <w:rPr>
          <w:i/>
          <w:sz w:val="20"/>
          <w:szCs w:val="20"/>
        </w:rPr>
      </w:pPr>
      <w:r w:rsidRPr="00A7020F">
        <w:rPr>
          <w:i/>
          <w:sz w:val="20"/>
          <w:szCs w:val="20"/>
        </w:rPr>
        <w:t xml:space="preserve">likuma „Par Pašvaldībām” </w:t>
      </w:r>
      <w:r w:rsidR="008A0CA3">
        <w:rPr>
          <w:i/>
          <w:sz w:val="20"/>
          <w:szCs w:val="20"/>
        </w:rPr>
        <w:t>14.panta pirmās daļas 3.punktu</w:t>
      </w:r>
      <w:r w:rsidRPr="00A7020F">
        <w:rPr>
          <w:i/>
          <w:sz w:val="20"/>
          <w:szCs w:val="20"/>
        </w:rPr>
        <w:t xml:space="preserve"> un likuma „Par nekustamā </w:t>
      </w:r>
    </w:p>
    <w:p w:rsidR="0011702B" w:rsidRDefault="0011702B" w:rsidP="008A0CA3">
      <w:pPr>
        <w:pStyle w:val="Default"/>
        <w:jc w:val="right"/>
        <w:rPr>
          <w:b/>
          <w:i/>
          <w:sz w:val="20"/>
          <w:szCs w:val="20"/>
        </w:rPr>
      </w:pPr>
      <w:r w:rsidRPr="00A7020F">
        <w:rPr>
          <w:i/>
          <w:sz w:val="20"/>
          <w:szCs w:val="20"/>
        </w:rPr>
        <w:t xml:space="preserve">īpašuma nodokli” </w:t>
      </w:r>
      <w:r w:rsidR="008A0CA3">
        <w:rPr>
          <w:i/>
          <w:sz w:val="20"/>
          <w:szCs w:val="20"/>
        </w:rPr>
        <w:t>5.panta trešo daļu</w:t>
      </w:r>
    </w:p>
    <w:p w:rsidR="004979F0" w:rsidRDefault="004979F0">
      <w:pPr>
        <w:rPr>
          <w:sz w:val="24"/>
          <w:szCs w:val="24"/>
        </w:rPr>
      </w:pPr>
    </w:p>
    <w:p w:rsidR="000F7941" w:rsidRPr="004979F0" w:rsidRDefault="004979F0">
      <w:pPr>
        <w:rPr>
          <w:sz w:val="24"/>
          <w:szCs w:val="24"/>
        </w:rPr>
      </w:pPr>
      <w:r w:rsidRPr="004979F0">
        <w:rPr>
          <w:sz w:val="24"/>
          <w:szCs w:val="24"/>
        </w:rPr>
        <w:t>2014.gada 21.oktobrī</w:t>
      </w:r>
    </w:p>
    <w:p w:rsidR="008A0CA3" w:rsidRDefault="008A0CA3"/>
    <w:p w:rsidR="008A0CA3" w:rsidRDefault="008A0CA3"/>
    <w:p w:rsidR="008A0CA3" w:rsidRDefault="00D51FB8" w:rsidP="00D51FB8">
      <w:pPr>
        <w:pStyle w:val="Default"/>
        <w:jc w:val="both"/>
        <w:rPr>
          <w:noProof/>
        </w:rPr>
      </w:pPr>
      <w:r>
        <w:rPr>
          <w:noProof/>
        </w:rPr>
        <w:t>1.</w:t>
      </w:r>
      <w:r w:rsidR="008A0CA3" w:rsidRPr="008A0CA3">
        <w:rPr>
          <w:noProof/>
        </w:rPr>
        <w:t xml:space="preserve">Izdarīt 2011.gada </w:t>
      </w:r>
      <w:r w:rsidR="008A0CA3">
        <w:rPr>
          <w:noProof/>
        </w:rPr>
        <w:t>27.janvā</w:t>
      </w:r>
      <w:r w:rsidR="00985C10">
        <w:rPr>
          <w:noProof/>
        </w:rPr>
        <w:t>r</w:t>
      </w:r>
      <w:r w:rsidR="008A0CA3">
        <w:rPr>
          <w:noProof/>
        </w:rPr>
        <w:t>a</w:t>
      </w:r>
      <w:r w:rsidR="008A0CA3" w:rsidRPr="008A0CA3">
        <w:rPr>
          <w:noProof/>
        </w:rPr>
        <w:t xml:space="preserve"> Madonas novada pašvaldības saistošajos noteikumos Nr.</w:t>
      </w:r>
      <w:r w:rsidR="008A0CA3">
        <w:rPr>
          <w:noProof/>
        </w:rPr>
        <w:t>2</w:t>
      </w:r>
      <w:r w:rsidR="008A0CA3" w:rsidRPr="008A0CA3">
        <w:rPr>
          <w:noProof/>
        </w:rPr>
        <w:t xml:space="preserve"> </w:t>
      </w:r>
      <w:r w:rsidR="008A0CA3" w:rsidRPr="008A0CA3">
        <w:t>„</w:t>
      </w:r>
      <w:r w:rsidR="008A0CA3" w:rsidRPr="008A0CA3">
        <w:rPr>
          <w:bCs/>
          <w:sz w:val="23"/>
          <w:szCs w:val="23"/>
        </w:rPr>
        <w:t>Par nekustamā īpašuma nodokļa atvieglojuma noteikšanu Madonas novada pašvaldībā”</w:t>
      </w:r>
      <w:r w:rsidR="008A0CA3">
        <w:rPr>
          <w:bCs/>
          <w:sz w:val="23"/>
          <w:szCs w:val="23"/>
        </w:rPr>
        <w:t xml:space="preserve"> </w:t>
      </w:r>
      <w:r w:rsidR="008A0CA3" w:rsidRPr="008A0CA3">
        <w:rPr>
          <w:noProof/>
        </w:rPr>
        <w:t>šādus grozījumus:</w:t>
      </w:r>
    </w:p>
    <w:p w:rsidR="008A0CA3" w:rsidRDefault="008A0CA3" w:rsidP="008A0CA3">
      <w:pPr>
        <w:pStyle w:val="Default"/>
        <w:ind w:left="720"/>
        <w:jc w:val="both"/>
        <w:rPr>
          <w:noProof/>
        </w:rPr>
      </w:pPr>
    </w:p>
    <w:p w:rsidR="004979F0" w:rsidRDefault="004979F0" w:rsidP="008A0CA3">
      <w:pPr>
        <w:pStyle w:val="Default"/>
        <w:numPr>
          <w:ilvl w:val="1"/>
          <w:numId w:val="2"/>
        </w:numPr>
        <w:jc w:val="both"/>
        <w:rPr>
          <w:noProof/>
        </w:rPr>
      </w:pPr>
      <w:r>
        <w:rPr>
          <w:noProof/>
        </w:rPr>
        <w:t>Izteikt saistošo n</w:t>
      </w:r>
      <w:r w:rsidR="00773512">
        <w:rPr>
          <w:noProof/>
        </w:rPr>
        <w:t>oteikumu 1.6.punktu</w:t>
      </w:r>
      <w:r>
        <w:rPr>
          <w:noProof/>
        </w:rPr>
        <w:t xml:space="preserve"> šādā redakcijā:</w:t>
      </w:r>
    </w:p>
    <w:p w:rsidR="004979F0" w:rsidRDefault="00D51FB8" w:rsidP="004979F0">
      <w:pPr>
        <w:pStyle w:val="Default"/>
        <w:jc w:val="both"/>
        <w:rPr>
          <w:noProof/>
        </w:rPr>
      </w:pPr>
      <w:r>
        <w:rPr>
          <w:noProof/>
        </w:rPr>
        <w:t>„</w:t>
      </w:r>
      <w:r w:rsidR="00773512">
        <w:rPr>
          <w:noProof/>
        </w:rPr>
        <w:t xml:space="preserve">Nekustamā nodokļa atveiglojumi tiek piemēroti tikai tad, ja nekustamais īpašums netiek izmantots saimnieciskās darbības veikšanai. </w:t>
      </w:r>
      <w:r w:rsidR="004979F0">
        <w:rPr>
          <w:noProof/>
        </w:rPr>
        <w:t>Šis punkts neattiecas uz 2.3.un 2.4.punktā noteikto atvieglojumu”.</w:t>
      </w:r>
    </w:p>
    <w:p w:rsidR="004979F0" w:rsidRDefault="004979F0" w:rsidP="004979F0">
      <w:pPr>
        <w:pStyle w:val="Default"/>
        <w:jc w:val="both"/>
        <w:rPr>
          <w:noProof/>
        </w:rPr>
      </w:pPr>
    </w:p>
    <w:p w:rsidR="008A0CA3" w:rsidRDefault="008A0CA3" w:rsidP="008A0CA3">
      <w:pPr>
        <w:pStyle w:val="Default"/>
        <w:numPr>
          <w:ilvl w:val="1"/>
          <w:numId w:val="2"/>
        </w:numPr>
        <w:jc w:val="both"/>
        <w:rPr>
          <w:noProof/>
        </w:rPr>
      </w:pPr>
      <w:r>
        <w:rPr>
          <w:noProof/>
        </w:rPr>
        <w:t>Izteikt saistošo noteikumu 2.1.punktu šādā redakcijā:</w:t>
      </w:r>
    </w:p>
    <w:p w:rsidR="0011702B" w:rsidRPr="000A6F8A" w:rsidRDefault="0011702B" w:rsidP="0011702B">
      <w:pPr>
        <w:pStyle w:val="naisf"/>
        <w:ind w:firstLine="0"/>
        <w:rPr>
          <w:rFonts w:ascii="Arial" w:hAnsi="Arial" w:cs="Arial"/>
        </w:rPr>
      </w:pPr>
      <w:r w:rsidRPr="000A6F8A">
        <w:t xml:space="preserve">“2.1. maznodrošinātām personām – 50% no aprēķinātās nodokļa summas par to periodu, kurā nodokļa maksātājs atbilst maznodrošinātas personas statusam, attiecībā uz </w:t>
      </w:r>
      <w:proofErr w:type="spellStart"/>
      <w:r w:rsidRPr="000A6F8A">
        <w:t>vienģimenes</w:t>
      </w:r>
      <w:proofErr w:type="spellEnd"/>
      <w:r w:rsidRPr="000A6F8A">
        <w:t xml:space="preserve"> un </w:t>
      </w:r>
      <w:proofErr w:type="spellStart"/>
      <w:r w:rsidRPr="000A6F8A">
        <w:t>divģimeņu</w:t>
      </w:r>
      <w:proofErr w:type="spellEnd"/>
      <w:r w:rsidRPr="000A6F8A">
        <w:t xml:space="preserve"> dzīvojamām mājām un </w:t>
      </w:r>
      <w:r w:rsidR="00985C10" w:rsidRPr="000A6F8A">
        <w:t>tām piekritīgo</w:t>
      </w:r>
      <w:r w:rsidRPr="000A6F8A">
        <w:t xml:space="preserve"> zemes platību, daudzdzīvokļu mājām (to daļām) neatkarīgi no tā, vai tās ir vai nav sadalītas dzīvokļu īpašumos, nedzīvojamo ēku daļām</w:t>
      </w:r>
      <w:r w:rsidR="00985C10" w:rsidRPr="000A6F8A">
        <w:t>,</w:t>
      </w:r>
      <w:r w:rsidRPr="000A6F8A">
        <w:t xml:space="preserve"> kuru funkcionālā izmantošana ir dzīvošana</w:t>
      </w:r>
      <w:r w:rsidR="00985C10" w:rsidRPr="000A6F8A">
        <w:t>,</w:t>
      </w:r>
      <w:r w:rsidRPr="000A6F8A">
        <w:t xml:space="preserve"> un</w:t>
      </w:r>
      <w:r w:rsidR="00985C10" w:rsidRPr="000A6F8A">
        <w:t xml:space="preserve"> tām piekritīgo</w:t>
      </w:r>
      <w:r w:rsidRPr="000A6F8A">
        <w:t xml:space="preserve"> zemes domājamo daļu</w:t>
      </w:r>
      <w:r w:rsidR="00985C10" w:rsidRPr="000A6F8A">
        <w:t>.”</w:t>
      </w:r>
    </w:p>
    <w:p w:rsidR="0011702B" w:rsidRDefault="0011702B" w:rsidP="0011702B">
      <w:pPr>
        <w:pStyle w:val="naisf"/>
        <w:ind w:firstLine="0"/>
        <w:rPr>
          <w:rFonts w:ascii="Arial" w:hAnsi="Arial" w:cs="Arial"/>
          <w:color w:val="0070C0"/>
        </w:rPr>
      </w:pPr>
    </w:p>
    <w:p w:rsidR="00985C10" w:rsidRDefault="00985C10" w:rsidP="00985C10">
      <w:pPr>
        <w:pStyle w:val="naisf"/>
        <w:numPr>
          <w:ilvl w:val="0"/>
          <w:numId w:val="2"/>
        </w:numPr>
      </w:pPr>
      <w:r>
        <w:t xml:space="preserve">Saistošie noteikumi stājas spēkā 2015.gada 1.janvārī. </w:t>
      </w:r>
    </w:p>
    <w:p w:rsidR="00985C10" w:rsidRPr="00985C10" w:rsidRDefault="00985C10" w:rsidP="00985C10">
      <w:pPr>
        <w:pStyle w:val="naisf"/>
        <w:ind w:left="720" w:firstLine="0"/>
      </w:pPr>
    </w:p>
    <w:p w:rsidR="0011702B" w:rsidRDefault="0011702B"/>
    <w:p w:rsidR="008A0CA3" w:rsidRDefault="008A0CA3">
      <w:pPr>
        <w:rPr>
          <w:sz w:val="24"/>
          <w:szCs w:val="24"/>
        </w:rPr>
      </w:pPr>
      <w:r w:rsidRPr="008A0CA3">
        <w:rPr>
          <w:sz w:val="24"/>
          <w:szCs w:val="24"/>
        </w:rPr>
        <w:t>Domes priekšsēdētājs</w:t>
      </w:r>
      <w:r w:rsidRPr="008A0CA3">
        <w:rPr>
          <w:sz w:val="24"/>
          <w:szCs w:val="24"/>
        </w:rPr>
        <w:tab/>
      </w:r>
      <w:r w:rsidRPr="008A0CA3">
        <w:rPr>
          <w:sz w:val="24"/>
          <w:szCs w:val="24"/>
        </w:rPr>
        <w:tab/>
      </w:r>
      <w:r w:rsidRPr="008A0CA3">
        <w:rPr>
          <w:sz w:val="24"/>
          <w:szCs w:val="24"/>
        </w:rPr>
        <w:tab/>
      </w:r>
      <w:r w:rsidRPr="008A0CA3">
        <w:rPr>
          <w:sz w:val="24"/>
          <w:szCs w:val="24"/>
        </w:rPr>
        <w:tab/>
      </w:r>
      <w:r w:rsidRPr="008A0CA3">
        <w:rPr>
          <w:sz w:val="24"/>
          <w:szCs w:val="24"/>
        </w:rPr>
        <w:tab/>
      </w:r>
      <w:proofErr w:type="spellStart"/>
      <w:r w:rsidRPr="008A0CA3">
        <w:rPr>
          <w:sz w:val="24"/>
          <w:szCs w:val="24"/>
        </w:rPr>
        <w:t>A.Ceļapīters</w:t>
      </w:r>
      <w:proofErr w:type="spellEnd"/>
    </w:p>
    <w:p w:rsidR="00F23A54" w:rsidRDefault="00F23A54">
      <w:pPr>
        <w:rPr>
          <w:sz w:val="24"/>
          <w:szCs w:val="24"/>
        </w:rPr>
      </w:pPr>
    </w:p>
    <w:p w:rsidR="00F23A54" w:rsidRDefault="00F23A54">
      <w:pPr>
        <w:rPr>
          <w:sz w:val="24"/>
          <w:szCs w:val="24"/>
        </w:rPr>
      </w:pPr>
    </w:p>
    <w:p w:rsidR="00F23A54" w:rsidRDefault="00F23A54">
      <w:pPr>
        <w:rPr>
          <w:sz w:val="24"/>
          <w:szCs w:val="24"/>
        </w:rPr>
      </w:pPr>
    </w:p>
    <w:p w:rsidR="00D51FB8" w:rsidRDefault="00D51FB8">
      <w:pPr>
        <w:rPr>
          <w:sz w:val="24"/>
          <w:szCs w:val="24"/>
        </w:rPr>
      </w:pPr>
    </w:p>
    <w:p w:rsidR="00D51FB8" w:rsidRDefault="00D51FB8">
      <w:pPr>
        <w:rPr>
          <w:sz w:val="24"/>
          <w:szCs w:val="24"/>
        </w:rPr>
      </w:pPr>
    </w:p>
    <w:p w:rsidR="00D51FB8" w:rsidRDefault="00D51FB8">
      <w:pPr>
        <w:rPr>
          <w:sz w:val="24"/>
          <w:szCs w:val="24"/>
        </w:rPr>
      </w:pPr>
      <w:bookmarkStart w:id="0" w:name="_GoBack"/>
      <w:bookmarkEnd w:id="0"/>
    </w:p>
    <w:p w:rsidR="00F23A54" w:rsidRDefault="00F23A54">
      <w:pPr>
        <w:rPr>
          <w:sz w:val="24"/>
          <w:szCs w:val="24"/>
        </w:rPr>
      </w:pPr>
    </w:p>
    <w:p w:rsidR="00D51FB8" w:rsidRPr="00D51FB8" w:rsidRDefault="00D51FB8" w:rsidP="00D51FB8">
      <w:pPr>
        <w:pStyle w:val="Default"/>
        <w:jc w:val="center"/>
        <w:rPr>
          <w:sz w:val="22"/>
          <w:szCs w:val="22"/>
        </w:rPr>
      </w:pPr>
      <w:r w:rsidRPr="00D51FB8">
        <w:rPr>
          <w:b/>
          <w:bCs/>
          <w:sz w:val="22"/>
          <w:szCs w:val="22"/>
        </w:rPr>
        <w:lastRenderedPageBreak/>
        <w:t>Paskaidrojuma raksts</w:t>
      </w:r>
    </w:p>
    <w:p w:rsidR="00F23A54" w:rsidRPr="00D51FB8" w:rsidRDefault="00D51FB8" w:rsidP="00F23A54">
      <w:pPr>
        <w:pStyle w:val="Default"/>
        <w:jc w:val="center"/>
        <w:rPr>
          <w:sz w:val="22"/>
          <w:szCs w:val="22"/>
        </w:rPr>
      </w:pPr>
      <w:r>
        <w:rPr>
          <w:b/>
          <w:bCs/>
          <w:sz w:val="22"/>
          <w:szCs w:val="22"/>
        </w:rPr>
        <w:t>M</w:t>
      </w:r>
      <w:r w:rsidR="00F23A54" w:rsidRPr="00D51FB8">
        <w:rPr>
          <w:b/>
          <w:bCs/>
          <w:sz w:val="22"/>
          <w:szCs w:val="22"/>
        </w:rPr>
        <w:t xml:space="preserve">adonas novada pašvaldības Saistošajiem noteikumiem Nr. </w:t>
      </w:r>
      <w:r w:rsidRPr="00D51FB8">
        <w:rPr>
          <w:b/>
          <w:bCs/>
          <w:sz w:val="22"/>
          <w:szCs w:val="22"/>
        </w:rPr>
        <w:t>23</w:t>
      </w:r>
    </w:p>
    <w:p w:rsidR="00304643" w:rsidRPr="00D51FB8" w:rsidRDefault="00304643" w:rsidP="00304643">
      <w:pPr>
        <w:pStyle w:val="Default"/>
        <w:jc w:val="center"/>
        <w:rPr>
          <w:b/>
          <w:sz w:val="22"/>
          <w:szCs w:val="22"/>
        </w:rPr>
      </w:pPr>
      <w:r w:rsidRPr="00D51FB8">
        <w:rPr>
          <w:b/>
          <w:sz w:val="22"/>
          <w:szCs w:val="22"/>
        </w:rPr>
        <w:t>„</w:t>
      </w:r>
      <w:r w:rsidRPr="00D51FB8">
        <w:rPr>
          <w:b/>
          <w:bCs/>
          <w:sz w:val="22"/>
          <w:szCs w:val="22"/>
        </w:rPr>
        <w:t>Par nekustamā īpašuma nodokļa atvieglojuma noteikšanu Madonas novada pašvaldībā”</w:t>
      </w:r>
    </w:p>
    <w:p w:rsidR="00F23A54" w:rsidRPr="00D51FB8" w:rsidRDefault="00D51FB8" w:rsidP="00F23A54">
      <w:pPr>
        <w:jc w:val="center"/>
        <w:rPr>
          <w:bCs/>
          <w:sz w:val="22"/>
          <w:szCs w:val="22"/>
        </w:rPr>
      </w:pPr>
      <w:r w:rsidRPr="00D51FB8">
        <w:rPr>
          <w:bCs/>
          <w:sz w:val="22"/>
          <w:szCs w:val="22"/>
        </w:rPr>
        <w:t>Madonā</w:t>
      </w:r>
    </w:p>
    <w:p w:rsidR="00F23A54" w:rsidRPr="00D51FB8" w:rsidRDefault="00F23A54" w:rsidP="00F23A54">
      <w:pPr>
        <w:rPr>
          <w:bCs/>
          <w:sz w:val="22"/>
          <w:szCs w:val="22"/>
        </w:rPr>
      </w:pPr>
      <w:r w:rsidRPr="00D51FB8">
        <w:rPr>
          <w:bCs/>
          <w:sz w:val="22"/>
          <w:szCs w:val="22"/>
        </w:rPr>
        <w:t>2014.gada</w:t>
      </w:r>
      <w:r w:rsidR="004979F0" w:rsidRPr="00D51FB8">
        <w:rPr>
          <w:bCs/>
          <w:sz w:val="22"/>
          <w:szCs w:val="22"/>
        </w:rPr>
        <w:t xml:space="preserve"> 21.oktobrī</w:t>
      </w:r>
      <w:r w:rsidRPr="00D51FB8">
        <w:rPr>
          <w:bCs/>
          <w:sz w:val="22"/>
          <w:szCs w:val="22"/>
        </w:rPr>
        <w:tab/>
      </w:r>
      <w:r w:rsidRPr="00D51FB8">
        <w:rPr>
          <w:bCs/>
          <w:sz w:val="22"/>
          <w:szCs w:val="22"/>
        </w:rPr>
        <w:tab/>
      </w:r>
      <w:r w:rsidRPr="00D51FB8">
        <w:rPr>
          <w:bCs/>
          <w:sz w:val="22"/>
          <w:szCs w:val="22"/>
        </w:rPr>
        <w:tab/>
      </w:r>
      <w:r w:rsidRPr="00D51FB8">
        <w:rPr>
          <w:bCs/>
          <w:sz w:val="22"/>
          <w:szCs w:val="22"/>
        </w:rPr>
        <w:tab/>
      </w:r>
    </w:p>
    <w:tbl>
      <w:tblPr>
        <w:tblW w:w="5250" w:type="pct"/>
        <w:tblInd w:w="-4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20"/>
        <w:gridCol w:w="6228"/>
      </w:tblGrid>
      <w:tr w:rsidR="00F23A54" w:rsidRPr="00D51FB8" w:rsidTr="00D51FB8">
        <w:trPr>
          <w:cantSplit/>
          <w:trHeight w:val="608"/>
        </w:trPr>
        <w:tc>
          <w:tcPr>
            <w:tcW w:w="1520" w:type="pct"/>
            <w:tcBorders>
              <w:top w:val="single" w:sz="4" w:space="0" w:color="auto"/>
              <w:left w:val="single" w:sz="4" w:space="0" w:color="auto"/>
              <w:bottom w:val="single" w:sz="4" w:space="0" w:color="auto"/>
              <w:right w:val="single" w:sz="4" w:space="0" w:color="auto"/>
            </w:tcBorders>
            <w:hideMark/>
          </w:tcPr>
          <w:p w:rsidR="00F23A54" w:rsidRPr="00D51FB8" w:rsidRDefault="00F23A54">
            <w:pPr>
              <w:pStyle w:val="naiskr"/>
              <w:spacing w:before="120" w:after="120" w:line="256" w:lineRule="auto"/>
              <w:jc w:val="center"/>
              <w:rPr>
                <w:b/>
                <w:sz w:val="22"/>
                <w:szCs w:val="22"/>
              </w:rPr>
            </w:pPr>
            <w:r w:rsidRPr="00D51FB8">
              <w:rPr>
                <w:b/>
                <w:sz w:val="22"/>
                <w:szCs w:val="22"/>
              </w:rPr>
              <w:t>Paskaidrojuma raksta sadaļas</w:t>
            </w:r>
          </w:p>
        </w:tc>
        <w:tc>
          <w:tcPr>
            <w:tcW w:w="3480" w:type="pct"/>
            <w:tcBorders>
              <w:top w:val="single" w:sz="4" w:space="0" w:color="auto"/>
              <w:left w:val="single" w:sz="4" w:space="0" w:color="auto"/>
              <w:bottom w:val="single" w:sz="4" w:space="0" w:color="auto"/>
              <w:right w:val="single" w:sz="4" w:space="0" w:color="auto"/>
            </w:tcBorders>
            <w:vAlign w:val="center"/>
            <w:hideMark/>
          </w:tcPr>
          <w:p w:rsidR="00F23A54" w:rsidRPr="00D51FB8" w:rsidRDefault="00F23A54">
            <w:pPr>
              <w:pStyle w:val="naisnod"/>
              <w:spacing w:before="0" w:after="0" w:line="256" w:lineRule="auto"/>
              <w:rPr>
                <w:sz w:val="22"/>
                <w:szCs w:val="22"/>
                <w:lang w:eastAsia="en-US"/>
              </w:rPr>
            </w:pPr>
            <w:r w:rsidRPr="00D51FB8">
              <w:rPr>
                <w:sz w:val="22"/>
                <w:szCs w:val="22"/>
                <w:lang w:eastAsia="en-US"/>
              </w:rPr>
              <w:t>Norādāmā informācija</w:t>
            </w:r>
          </w:p>
        </w:tc>
      </w:tr>
      <w:tr w:rsidR="00F23A54" w:rsidRPr="00D51FB8" w:rsidTr="00F23A54">
        <w:trPr>
          <w:cantSplit/>
        </w:trPr>
        <w:tc>
          <w:tcPr>
            <w:tcW w:w="1520" w:type="pct"/>
            <w:tcBorders>
              <w:top w:val="single" w:sz="4" w:space="0" w:color="auto"/>
              <w:left w:val="single" w:sz="4" w:space="0" w:color="auto"/>
              <w:bottom w:val="single" w:sz="4" w:space="0" w:color="auto"/>
              <w:right w:val="single" w:sz="4" w:space="0" w:color="auto"/>
            </w:tcBorders>
          </w:tcPr>
          <w:p w:rsidR="00F23A54" w:rsidRPr="00D51FB8" w:rsidRDefault="00F23A54">
            <w:pPr>
              <w:spacing w:line="256" w:lineRule="auto"/>
              <w:rPr>
                <w:sz w:val="22"/>
                <w:szCs w:val="22"/>
              </w:rPr>
            </w:pPr>
          </w:p>
          <w:p w:rsidR="00F23A54" w:rsidRPr="00D51FB8" w:rsidRDefault="00F23A54">
            <w:pPr>
              <w:spacing w:line="256" w:lineRule="auto"/>
              <w:rPr>
                <w:sz w:val="22"/>
                <w:szCs w:val="22"/>
              </w:rPr>
            </w:pPr>
            <w:r w:rsidRPr="00D51FB8">
              <w:rPr>
                <w:sz w:val="22"/>
                <w:szCs w:val="22"/>
              </w:rPr>
              <w:t>1. Projekta nepieciešamības pamatojums</w:t>
            </w:r>
          </w:p>
          <w:p w:rsidR="00F23A54" w:rsidRPr="00D51FB8" w:rsidRDefault="00F23A54">
            <w:pPr>
              <w:spacing w:line="256" w:lineRule="auto"/>
              <w:rPr>
                <w:sz w:val="22"/>
                <w:szCs w:val="22"/>
              </w:rPr>
            </w:pPr>
          </w:p>
        </w:tc>
        <w:tc>
          <w:tcPr>
            <w:tcW w:w="3480" w:type="pct"/>
            <w:tcBorders>
              <w:top w:val="single" w:sz="4" w:space="0" w:color="auto"/>
              <w:left w:val="single" w:sz="4" w:space="0" w:color="auto"/>
              <w:bottom w:val="single" w:sz="4" w:space="0" w:color="auto"/>
              <w:right w:val="single" w:sz="4" w:space="0" w:color="auto"/>
            </w:tcBorders>
            <w:vAlign w:val="center"/>
            <w:hideMark/>
          </w:tcPr>
          <w:p w:rsidR="00F23A54" w:rsidRPr="00D51FB8" w:rsidRDefault="00F23A54">
            <w:pPr>
              <w:pStyle w:val="Pamatteksts"/>
              <w:spacing w:after="120" w:line="256" w:lineRule="auto"/>
              <w:rPr>
                <w:sz w:val="22"/>
                <w:szCs w:val="22"/>
              </w:rPr>
            </w:pPr>
            <w:r w:rsidRPr="00D51FB8">
              <w:rPr>
                <w:sz w:val="22"/>
                <w:szCs w:val="22"/>
              </w:rPr>
              <w:t xml:space="preserve">Likumā „Par nekustamā īpašuma nodokli” noteikts, ka pašvaldība piešķir nodokļa atvieglojumu nodokļa maksātājiem, kuriem tā ir piešķīrusi trūcīgas vai maznodrošinātas personas vai ģimenes statusu, — trūcīgām personām 90 procentu apmērā no aprēķinātās nodokļa summas un maznodrošinātām personām — līdz 90 procentiem no aprēķinātās nodokļa summas par to periodu, kurā nodokļa maksātājs atbilst trūcīgas vai maznodrošinātas personas statusam, attiecībā uz likuma </w:t>
            </w:r>
            <w:hyperlink r:id="rId7" w:anchor="bkm87" w:tooltip="Vietēja saite" w:history="1">
              <w:r w:rsidRPr="00D51FB8">
                <w:rPr>
                  <w:bCs/>
                  <w:sz w:val="22"/>
                  <w:szCs w:val="22"/>
                </w:rPr>
                <w:t>3.</w:t>
              </w:r>
            </w:hyperlink>
            <w:r w:rsidRPr="00D51FB8">
              <w:rPr>
                <w:sz w:val="22"/>
                <w:szCs w:val="22"/>
              </w:rPr>
              <w:t>panta pirmās daļas 2.punktā un 1.</w:t>
            </w:r>
            <w:r w:rsidRPr="00D51FB8">
              <w:rPr>
                <w:sz w:val="22"/>
                <w:szCs w:val="22"/>
                <w:vertAlign w:val="superscript"/>
              </w:rPr>
              <w:t>2</w:t>
            </w:r>
            <w:r w:rsidRPr="00D51FB8">
              <w:rPr>
                <w:sz w:val="22"/>
                <w:szCs w:val="22"/>
              </w:rPr>
              <w:t> daļā minētajiem nekustamā īpašuma nodokļa objektiem un tiem piekritīgo zemi.</w:t>
            </w:r>
          </w:p>
          <w:p w:rsidR="00F23A54" w:rsidRPr="00D51FB8" w:rsidRDefault="00F23A54" w:rsidP="002E1BD5">
            <w:pPr>
              <w:pStyle w:val="Pamatteksts"/>
              <w:spacing w:after="120" w:line="256" w:lineRule="auto"/>
              <w:rPr>
                <w:sz w:val="22"/>
                <w:szCs w:val="22"/>
              </w:rPr>
            </w:pPr>
            <w:r w:rsidRPr="00D51FB8">
              <w:rPr>
                <w:sz w:val="22"/>
                <w:szCs w:val="22"/>
              </w:rPr>
              <w:t xml:space="preserve">Šobrīd saskaņā ar 2011.gada </w:t>
            </w:r>
            <w:r w:rsidR="002E1BD5" w:rsidRPr="00D51FB8">
              <w:rPr>
                <w:sz w:val="22"/>
                <w:szCs w:val="22"/>
              </w:rPr>
              <w:t>27.janvāra</w:t>
            </w:r>
            <w:r w:rsidRPr="00D51FB8">
              <w:rPr>
                <w:sz w:val="22"/>
                <w:szCs w:val="22"/>
              </w:rPr>
              <w:t xml:space="preserve"> Madonas novada pašvaldības saistošajiem noteikumiem Nr.2, </w:t>
            </w:r>
            <w:r w:rsidR="002E1BD5" w:rsidRPr="00D51FB8">
              <w:rPr>
                <w:sz w:val="22"/>
                <w:szCs w:val="22"/>
              </w:rPr>
              <w:t xml:space="preserve">maznodrošinātajām personām tiek piešķirts nekustamā īpašuma nodokļa atvieglojums par </w:t>
            </w:r>
            <w:proofErr w:type="spellStart"/>
            <w:r w:rsidR="002E1BD5" w:rsidRPr="00D51FB8">
              <w:rPr>
                <w:sz w:val="22"/>
                <w:szCs w:val="22"/>
              </w:rPr>
              <w:t>vienģimenes</w:t>
            </w:r>
            <w:proofErr w:type="spellEnd"/>
            <w:r w:rsidR="002E1BD5" w:rsidRPr="00D51FB8">
              <w:rPr>
                <w:sz w:val="22"/>
                <w:szCs w:val="22"/>
              </w:rPr>
              <w:t xml:space="preserve"> un </w:t>
            </w:r>
            <w:proofErr w:type="spellStart"/>
            <w:r w:rsidR="002E1BD5" w:rsidRPr="00D51FB8">
              <w:rPr>
                <w:sz w:val="22"/>
                <w:szCs w:val="22"/>
              </w:rPr>
              <w:t>divģimeņu</w:t>
            </w:r>
            <w:proofErr w:type="spellEnd"/>
            <w:r w:rsidR="002E1BD5" w:rsidRPr="00D51FB8">
              <w:rPr>
                <w:sz w:val="22"/>
                <w:szCs w:val="22"/>
              </w:rPr>
              <w:t xml:space="preserve"> dzīvojamām mājām un tām piekritīgo zemes platību, daudzdzīvokļu mājām (to daļām) neatkarīgi no tā, vai tās ir vai nav sadalītas dzīvokļu īpašumos, nedzīvojamo ēku daļām, kuru funkcionālā izmantošana ir dzīvošana, bet nav noteikts nodokļu atvieglojums par šiem nekustamajiem īpašumiem piekritīgo zemi. </w:t>
            </w:r>
          </w:p>
        </w:tc>
      </w:tr>
      <w:tr w:rsidR="00F23A54" w:rsidRPr="00D51FB8" w:rsidTr="00F23A54">
        <w:trPr>
          <w:cantSplit/>
        </w:trPr>
        <w:tc>
          <w:tcPr>
            <w:tcW w:w="1520" w:type="pct"/>
            <w:tcBorders>
              <w:top w:val="single" w:sz="4" w:space="0" w:color="auto"/>
              <w:left w:val="single" w:sz="4" w:space="0" w:color="auto"/>
              <w:bottom w:val="single" w:sz="4" w:space="0" w:color="auto"/>
              <w:right w:val="single" w:sz="4" w:space="0" w:color="auto"/>
            </w:tcBorders>
            <w:hideMark/>
          </w:tcPr>
          <w:p w:rsidR="00F23A54" w:rsidRPr="00D51FB8" w:rsidRDefault="00F23A54">
            <w:pPr>
              <w:pStyle w:val="naiskr"/>
              <w:spacing w:before="120" w:after="120" w:line="256" w:lineRule="auto"/>
              <w:rPr>
                <w:bCs/>
                <w:sz w:val="22"/>
                <w:szCs w:val="22"/>
              </w:rPr>
            </w:pPr>
            <w:r w:rsidRPr="00D51FB8">
              <w:rPr>
                <w:bCs/>
                <w:sz w:val="22"/>
                <w:szCs w:val="22"/>
              </w:rPr>
              <w:t>2. Īss projekta satura izklāsts</w:t>
            </w:r>
          </w:p>
        </w:tc>
        <w:tc>
          <w:tcPr>
            <w:tcW w:w="3480" w:type="pct"/>
            <w:tcBorders>
              <w:top w:val="single" w:sz="4" w:space="0" w:color="auto"/>
              <w:left w:val="single" w:sz="4" w:space="0" w:color="auto"/>
              <w:bottom w:val="single" w:sz="4" w:space="0" w:color="auto"/>
              <w:right w:val="single" w:sz="4" w:space="0" w:color="auto"/>
            </w:tcBorders>
            <w:vAlign w:val="center"/>
            <w:hideMark/>
          </w:tcPr>
          <w:p w:rsidR="00F23A54" w:rsidRPr="00D51FB8" w:rsidRDefault="00304643" w:rsidP="00304643">
            <w:pPr>
              <w:pStyle w:val="naisnod"/>
              <w:spacing w:before="0" w:after="0" w:line="256" w:lineRule="auto"/>
              <w:jc w:val="both"/>
              <w:rPr>
                <w:b w:val="0"/>
                <w:bCs w:val="0"/>
                <w:sz w:val="22"/>
                <w:szCs w:val="22"/>
              </w:rPr>
            </w:pPr>
            <w:r w:rsidRPr="00D51FB8">
              <w:rPr>
                <w:b w:val="0"/>
                <w:bCs w:val="0"/>
                <w:sz w:val="22"/>
                <w:szCs w:val="22"/>
              </w:rPr>
              <w:t xml:space="preserve">Tiek grozīta saistošo noteikumu 2.1.punkta redakcija, paredzot nodokļu atvieglojumu maznodrošināto personu nekustamā īpašuma piekritīgajai zemei.   </w:t>
            </w:r>
          </w:p>
          <w:p w:rsidR="004979F0" w:rsidRPr="00D51FB8" w:rsidRDefault="004979F0" w:rsidP="00773512">
            <w:pPr>
              <w:pStyle w:val="naisnod"/>
              <w:spacing w:before="0" w:after="0" w:line="256" w:lineRule="auto"/>
              <w:jc w:val="both"/>
              <w:rPr>
                <w:b w:val="0"/>
                <w:bCs w:val="0"/>
                <w:sz w:val="22"/>
                <w:szCs w:val="22"/>
              </w:rPr>
            </w:pPr>
            <w:r w:rsidRPr="00D51FB8">
              <w:rPr>
                <w:b w:val="0"/>
                <w:bCs w:val="0"/>
                <w:sz w:val="22"/>
                <w:szCs w:val="22"/>
              </w:rPr>
              <w:t>Saistošo notei</w:t>
            </w:r>
            <w:r w:rsidR="00773512" w:rsidRPr="00D51FB8">
              <w:rPr>
                <w:b w:val="0"/>
                <w:bCs w:val="0"/>
                <w:sz w:val="22"/>
                <w:szCs w:val="22"/>
              </w:rPr>
              <w:t>kumu 1.6.punkts</w:t>
            </w:r>
            <w:r w:rsidR="00C8184A" w:rsidRPr="00D51FB8">
              <w:rPr>
                <w:b w:val="0"/>
                <w:bCs w:val="0"/>
                <w:sz w:val="22"/>
                <w:szCs w:val="22"/>
              </w:rPr>
              <w:t xml:space="preserve"> tiek precizēts</w:t>
            </w:r>
            <w:r w:rsidRPr="00D51FB8">
              <w:rPr>
                <w:b w:val="0"/>
                <w:bCs w:val="0"/>
                <w:sz w:val="22"/>
                <w:szCs w:val="22"/>
              </w:rPr>
              <w:t>, precizējot gadījumus, kad noteikumi par saimnieciskās darbības ierobežojum</w:t>
            </w:r>
            <w:r w:rsidR="00C8184A" w:rsidRPr="00D51FB8">
              <w:rPr>
                <w:b w:val="0"/>
                <w:bCs w:val="0"/>
                <w:sz w:val="22"/>
                <w:szCs w:val="22"/>
              </w:rPr>
              <w:t>iem</w:t>
            </w:r>
            <w:r w:rsidRPr="00D51FB8">
              <w:rPr>
                <w:b w:val="0"/>
                <w:bCs w:val="0"/>
                <w:sz w:val="22"/>
                <w:szCs w:val="22"/>
              </w:rPr>
              <w:t xml:space="preserve"> netiek piemēroti. </w:t>
            </w:r>
          </w:p>
        </w:tc>
      </w:tr>
      <w:tr w:rsidR="00F23A54" w:rsidRPr="00D51FB8" w:rsidTr="00D51FB8">
        <w:trPr>
          <w:cantSplit/>
          <w:trHeight w:val="922"/>
        </w:trPr>
        <w:tc>
          <w:tcPr>
            <w:tcW w:w="1520" w:type="pct"/>
            <w:tcBorders>
              <w:top w:val="single" w:sz="4" w:space="0" w:color="auto"/>
              <w:left w:val="single" w:sz="4" w:space="0" w:color="auto"/>
              <w:bottom w:val="single" w:sz="4" w:space="0" w:color="auto"/>
              <w:right w:val="single" w:sz="4" w:space="0" w:color="auto"/>
            </w:tcBorders>
            <w:hideMark/>
          </w:tcPr>
          <w:p w:rsidR="00F23A54" w:rsidRPr="00D51FB8" w:rsidRDefault="00F23A54">
            <w:pPr>
              <w:spacing w:before="120" w:after="120" w:line="256" w:lineRule="auto"/>
              <w:rPr>
                <w:bCs/>
                <w:sz w:val="22"/>
                <w:szCs w:val="22"/>
              </w:rPr>
            </w:pPr>
            <w:r w:rsidRPr="00D51FB8">
              <w:rPr>
                <w:bCs/>
                <w:sz w:val="22"/>
                <w:szCs w:val="22"/>
              </w:rPr>
              <w:t>3. Informācija par plānoto projekta ietekmi uz pašvaldības budžetu</w:t>
            </w:r>
          </w:p>
        </w:tc>
        <w:tc>
          <w:tcPr>
            <w:tcW w:w="3480" w:type="pct"/>
            <w:tcBorders>
              <w:top w:val="single" w:sz="4" w:space="0" w:color="auto"/>
              <w:left w:val="single" w:sz="4" w:space="0" w:color="auto"/>
              <w:bottom w:val="single" w:sz="4" w:space="0" w:color="auto"/>
              <w:right w:val="single" w:sz="4" w:space="0" w:color="auto"/>
            </w:tcBorders>
            <w:vAlign w:val="center"/>
            <w:hideMark/>
          </w:tcPr>
          <w:p w:rsidR="00F23A54" w:rsidRPr="00D51FB8" w:rsidRDefault="00304643">
            <w:pPr>
              <w:pStyle w:val="naisnod"/>
              <w:spacing w:before="0" w:after="0" w:line="256" w:lineRule="auto"/>
              <w:jc w:val="both"/>
              <w:rPr>
                <w:b w:val="0"/>
                <w:bCs w:val="0"/>
                <w:sz w:val="22"/>
                <w:szCs w:val="22"/>
              </w:rPr>
            </w:pPr>
            <w:r w:rsidRPr="00D51FB8">
              <w:rPr>
                <w:b w:val="0"/>
                <w:bCs w:val="0"/>
                <w:sz w:val="22"/>
                <w:szCs w:val="22"/>
              </w:rPr>
              <w:t>Būtiska ietekme uz budžetu nav plānota.</w:t>
            </w:r>
          </w:p>
        </w:tc>
      </w:tr>
      <w:tr w:rsidR="00F23A54" w:rsidRPr="00D51FB8" w:rsidTr="00F23A54">
        <w:trPr>
          <w:cantSplit/>
        </w:trPr>
        <w:tc>
          <w:tcPr>
            <w:tcW w:w="1520" w:type="pct"/>
            <w:tcBorders>
              <w:top w:val="single" w:sz="4" w:space="0" w:color="auto"/>
              <w:left w:val="single" w:sz="4" w:space="0" w:color="auto"/>
              <w:bottom w:val="single" w:sz="4" w:space="0" w:color="auto"/>
              <w:right w:val="single" w:sz="4" w:space="0" w:color="auto"/>
            </w:tcBorders>
            <w:hideMark/>
          </w:tcPr>
          <w:p w:rsidR="00F23A54" w:rsidRPr="00D51FB8" w:rsidRDefault="00F23A54">
            <w:pPr>
              <w:spacing w:before="120" w:after="120" w:line="256" w:lineRule="auto"/>
              <w:rPr>
                <w:bCs/>
                <w:sz w:val="22"/>
                <w:szCs w:val="22"/>
              </w:rPr>
            </w:pPr>
            <w:r w:rsidRPr="00D51FB8">
              <w:rPr>
                <w:bCs/>
                <w:sz w:val="22"/>
                <w:szCs w:val="22"/>
              </w:rPr>
              <w:t>4. Informācija par plānoto projekta ietekmi uz uzņēmējdarbības vidi pašvaldības teritorijā</w:t>
            </w:r>
          </w:p>
        </w:tc>
        <w:tc>
          <w:tcPr>
            <w:tcW w:w="3480" w:type="pct"/>
            <w:tcBorders>
              <w:top w:val="single" w:sz="4" w:space="0" w:color="auto"/>
              <w:left w:val="single" w:sz="4" w:space="0" w:color="auto"/>
              <w:bottom w:val="single" w:sz="4" w:space="0" w:color="auto"/>
              <w:right w:val="single" w:sz="4" w:space="0" w:color="auto"/>
            </w:tcBorders>
            <w:vAlign w:val="center"/>
            <w:hideMark/>
          </w:tcPr>
          <w:p w:rsidR="00F23A54" w:rsidRPr="00D51FB8" w:rsidRDefault="00F23A54">
            <w:pPr>
              <w:pStyle w:val="naisnod"/>
              <w:spacing w:before="0" w:after="0" w:line="256" w:lineRule="auto"/>
              <w:ind w:left="13"/>
              <w:jc w:val="both"/>
              <w:rPr>
                <w:b w:val="0"/>
                <w:bCs w:val="0"/>
                <w:sz w:val="22"/>
                <w:szCs w:val="22"/>
              </w:rPr>
            </w:pPr>
            <w:r w:rsidRPr="00D51FB8">
              <w:rPr>
                <w:b w:val="0"/>
                <w:bCs w:val="0"/>
                <w:sz w:val="22"/>
                <w:szCs w:val="22"/>
                <w:lang w:eastAsia="en-US"/>
              </w:rPr>
              <w:t>Nav ietekmes.</w:t>
            </w:r>
          </w:p>
        </w:tc>
      </w:tr>
      <w:tr w:rsidR="00F23A54" w:rsidRPr="00D51FB8" w:rsidTr="00F23A54">
        <w:trPr>
          <w:cantSplit/>
        </w:trPr>
        <w:tc>
          <w:tcPr>
            <w:tcW w:w="1520" w:type="pct"/>
            <w:tcBorders>
              <w:top w:val="single" w:sz="4" w:space="0" w:color="auto"/>
              <w:left w:val="single" w:sz="4" w:space="0" w:color="auto"/>
              <w:bottom w:val="single" w:sz="4" w:space="0" w:color="auto"/>
              <w:right w:val="single" w:sz="4" w:space="0" w:color="auto"/>
            </w:tcBorders>
            <w:hideMark/>
          </w:tcPr>
          <w:p w:rsidR="00F23A54" w:rsidRPr="00D51FB8" w:rsidRDefault="00F23A54">
            <w:pPr>
              <w:spacing w:before="120" w:after="120" w:line="256" w:lineRule="auto"/>
              <w:rPr>
                <w:bCs/>
                <w:sz w:val="22"/>
                <w:szCs w:val="22"/>
              </w:rPr>
            </w:pPr>
            <w:r w:rsidRPr="00D51FB8">
              <w:rPr>
                <w:bCs/>
                <w:sz w:val="22"/>
                <w:szCs w:val="22"/>
              </w:rPr>
              <w:t>5. Informācija par administratīvajām procedūrām</w:t>
            </w:r>
          </w:p>
        </w:tc>
        <w:tc>
          <w:tcPr>
            <w:tcW w:w="3480" w:type="pct"/>
            <w:tcBorders>
              <w:top w:val="single" w:sz="4" w:space="0" w:color="auto"/>
              <w:left w:val="single" w:sz="4" w:space="0" w:color="auto"/>
              <w:bottom w:val="single" w:sz="4" w:space="0" w:color="auto"/>
              <w:right w:val="single" w:sz="4" w:space="0" w:color="auto"/>
            </w:tcBorders>
            <w:vAlign w:val="center"/>
          </w:tcPr>
          <w:p w:rsidR="00F23A54" w:rsidRPr="00D51FB8" w:rsidRDefault="00F23A54">
            <w:pPr>
              <w:pStyle w:val="naisnod"/>
              <w:spacing w:before="0" w:after="0" w:line="256" w:lineRule="auto"/>
              <w:jc w:val="both"/>
              <w:rPr>
                <w:b w:val="0"/>
                <w:bCs w:val="0"/>
                <w:sz w:val="22"/>
                <w:szCs w:val="22"/>
                <w:lang w:eastAsia="en-US"/>
              </w:rPr>
            </w:pPr>
            <w:r w:rsidRPr="00D51FB8">
              <w:rPr>
                <w:b w:val="0"/>
                <w:bCs w:val="0"/>
                <w:sz w:val="22"/>
                <w:szCs w:val="22"/>
                <w:lang w:eastAsia="en-US"/>
              </w:rPr>
              <w:t>Nav ietekmes.</w:t>
            </w:r>
          </w:p>
          <w:p w:rsidR="00F23A54" w:rsidRPr="00D51FB8" w:rsidRDefault="00F23A54">
            <w:pPr>
              <w:pStyle w:val="naisnod"/>
              <w:spacing w:before="0" w:after="0" w:line="256" w:lineRule="auto"/>
              <w:jc w:val="both"/>
              <w:rPr>
                <w:b w:val="0"/>
                <w:bCs w:val="0"/>
                <w:sz w:val="22"/>
                <w:szCs w:val="22"/>
                <w:lang w:eastAsia="en-US"/>
              </w:rPr>
            </w:pPr>
          </w:p>
        </w:tc>
      </w:tr>
      <w:tr w:rsidR="00F23A54" w:rsidRPr="00D51FB8" w:rsidTr="00F23A54">
        <w:trPr>
          <w:cantSplit/>
        </w:trPr>
        <w:tc>
          <w:tcPr>
            <w:tcW w:w="1520" w:type="pct"/>
            <w:tcBorders>
              <w:top w:val="single" w:sz="4" w:space="0" w:color="auto"/>
              <w:left w:val="single" w:sz="4" w:space="0" w:color="auto"/>
              <w:bottom w:val="single" w:sz="4" w:space="0" w:color="auto"/>
              <w:right w:val="single" w:sz="4" w:space="0" w:color="auto"/>
            </w:tcBorders>
            <w:hideMark/>
          </w:tcPr>
          <w:p w:rsidR="00F23A54" w:rsidRPr="00D51FB8" w:rsidRDefault="00F23A54">
            <w:pPr>
              <w:spacing w:before="120" w:after="120" w:line="256" w:lineRule="auto"/>
              <w:rPr>
                <w:bCs/>
                <w:sz w:val="22"/>
                <w:szCs w:val="22"/>
              </w:rPr>
            </w:pPr>
            <w:r w:rsidRPr="00D51FB8">
              <w:rPr>
                <w:bCs/>
                <w:sz w:val="22"/>
                <w:szCs w:val="22"/>
              </w:rPr>
              <w:t>6. Informācija par konsultācijām ar privātpersonām</w:t>
            </w:r>
          </w:p>
        </w:tc>
        <w:tc>
          <w:tcPr>
            <w:tcW w:w="3480" w:type="pct"/>
            <w:tcBorders>
              <w:top w:val="single" w:sz="4" w:space="0" w:color="auto"/>
              <w:left w:val="single" w:sz="4" w:space="0" w:color="auto"/>
              <w:bottom w:val="single" w:sz="4" w:space="0" w:color="auto"/>
              <w:right w:val="single" w:sz="4" w:space="0" w:color="auto"/>
            </w:tcBorders>
            <w:vAlign w:val="center"/>
          </w:tcPr>
          <w:p w:rsidR="00F23A54" w:rsidRPr="00D51FB8" w:rsidRDefault="00F23A54">
            <w:pPr>
              <w:pStyle w:val="naisnod"/>
              <w:spacing w:before="0" w:after="0" w:line="256" w:lineRule="auto"/>
              <w:jc w:val="both"/>
              <w:rPr>
                <w:b w:val="0"/>
                <w:bCs w:val="0"/>
                <w:sz w:val="22"/>
                <w:szCs w:val="22"/>
                <w:lang w:eastAsia="en-US"/>
              </w:rPr>
            </w:pPr>
            <w:r w:rsidRPr="00D51FB8">
              <w:rPr>
                <w:b w:val="0"/>
                <w:bCs w:val="0"/>
                <w:sz w:val="22"/>
                <w:szCs w:val="22"/>
                <w:lang w:eastAsia="en-US"/>
              </w:rPr>
              <w:t>Konsultācijas nav veiktas.</w:t>
            </w:r>
          </w:p>
          <w:p w:rsidR="00F23A54" w:rsidRPr="00D51FB8" w:rsidRDefault="00F23A54">
            <w:pPr>
              <w:pStyle w:val="naisnod"/>
              <w:spacing w:before="0" w:after="0" w:line="256" w:lineRule="auto"/>
              <w:jc w:val="both"/>
              <w:rPr>
                <w:b w:val="0"/>
                <w:bCs w:val="0"/>
                <w:sz w:val="22"/>
                <w:szCs w:val="22"/>
                <w:lang w:eastAsia="en-US"/>
              </w:rPr>
            </w:pPr>
          </w:p>
        </w:tc>
      </w:tr>
    </w:tbl>
    <w:p w:rsidR="004979F0" w:rsidRPr="00D51FB8" w:rsidRDefault="004979F0" w:rsidP="00F23A54">
      <w:pPr>
        <w:pStyle w:val="Paraststmeklis"/>
        <w:jc w:val="both"/>
        <w:rPr>
          <w:sz w:val="22"/>
          <w:szCs w:val="22"/>
          <w:lang w:val="lv-LV"/>
        </w:rPr>
      </w:pPr>
    </w:p>
    <w:p w:rsidR="00F23A54" w:rsidRPr="00D51FB8" w:rsidRDefault="00F23A54" w:rsidP="00D51FB8">
      <w:pPr>
        <w:pStyle w:val="Paraststmeklis"/>
        <w:jc w:val="both"/>
        <w:rPr>
          <w:sz w:val="22"/>
          <w:szCs w:val="22"/>
        </w:rPr>
      </w:pPr>
      <w:r w:rsidRPr="00D51FB8">
        <w:rPr>
          <w:sz w:val="22"/>
          <w:szCs w:val="22"/>
          <w:lang w:val="lv-LV"/>
        </w:rPr>
        <w:t>Domes priekšsēdētājs</w:t>
      </w:r>
      <w:r w:rsidRPr="00D51FB8">
        <w:rPr>
          <w:sz w:val="22"/>
          <w:szCs w:val="22"/>
          <w:lang w:val="lv-LV"/>
        </w:rPr>
        <w:tab/>
      </w:r>
      <w:r w:rsidRPr="00D51FB8">
        <w:rPr>
          <w:sz w:val="22"/>
          <w:szCs w:val="22"/>
          <w:lang w:val="lv-LV"/>
        </w:rPr>
        <w:tab/>
      </w:r>
      <w:r w:rsidRPr="00D51FB8">
        <w:rPr>
          <w:sz w:val="22"/>
          <w:szCs w:val="22"/>
          <w:lang w:val="lv-LV"/>
        </w:rPr>
        <w:tab/>
      </w:r>
      <w:r w:rsidRPr="00D51FB8">
        <w:rPr>
          <w:sz w:val="22"/>
          <w:szCs w:val="22"/>
          <w:lang w:val="lv-LV"/>
        </w:rPr>
        <w:tab/>
      </w:r>
      <w:r w:rsidRPr="00D51FB8">
        <w:rPr>
          <w:sz w:val="22"/>
          <w:szCs w:val="22"/>
          <w:lang w:val="lv-LV"/>
        </w:rPr>
        <w:tab/>
      </w:r>
      <w:proofErr w:type="spellStart"/>
      <w:r w:rsidRPr="00D51FB8">
        <w:rPr>
          <w:sz w:val="22"/>
          <w:szCs w:val="22"/>
          <w:lang w:val="lv-LV"/>
        </w:rPr>
        <w:t>A.Ceļapīters</w:t>
      </w:r>
      <w:proofErr w:type="spellEnd"/>
    </w:p>
    <w:sectPr w:rsidR="00F23A54" w:rsidRPr="00D51FB8" w:rsidSect="00D51FB8">
      <w:pgSz w:w="11906" w:h="16838"/>
      <w:pgMar w:top="1440"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libri Light">
    <w:altName w:val="Calibri"/>
    <w:charset w:val="BA"/>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0FDE"/>
    <w:multiLevelType w:val="hybridMultilevel"/>
    <w:tmpl w:val="2B12AD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91A5FB0"/>
    <w:multiLevelType w:val="multilevel"/>
    <w:tmpl w:val="D07238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2B"/>
    <w:rsid w:val="000A6F8A"/>
    <w:rsid w:val="000F7941"/>
    <w:rsid w:val="0011702B"/>
    <w:rsid w:val="002E1BD5"/>
    <w:rsid w:val="00304643"/>
    <w:rsid w:val="004979F0"/>
    <w:rsid w:val="006F7B07"/>
    <w:rsid w:val="00773512"/>
    <w:rsid w:val="008A0CA3"/>
    <w:rsid w:val="00985C10"/>
    <w:rsid w:val="00B13904"/>
    <w:rsid w:val="00C8184A"/>
    <w:rsid w:val="00D51FB8"/>
    <w:rsid w:val="00F23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1702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1702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GalveneRakstz">
    <w:name w:val="Galvene Rakstz."/>
    <w:link w:val="Galvene"/>
    <w:locked/>
    <w:rsid w:val="0011702B"/>
    <w:rPr>
      <w:lang w:val="en-GB"/>
    </w:rPr>
  </w:style>
  <w:style w:type="paragraph" w:styleId="Galvene">
    <w:name w:val="header"/>
    <w:basedOn w:val="Parasts"/>
    <w:link w:val="GalveneRakstz"/>
    <w:rsid w:val="0011702B"/>
    <w:pPr>
      <w:widowControl/>
      <w:tabs>
        <w:tab w:val="center" w:pos="4153"/>
        <w:tab w:val="right" w:pos="8306"/>
      </w:tabs>
      <w:autoSpaceDE/>
      <w:autoSpaceDN/>
      <w:adjustRightInd/>
    </w:pPr>
    <w:rPr>
      <w:rFonts w:asciiTheme="minorHAnsi" w:eastAsiaTheme="minorHAnsi" w:hAnsiTheme="minorHAnsi" w:cstheme="minorBidi"/>
      <w:sz w:val="22"/>
      <w:szCs w:val="22"/>
      <w:lang w:val="en-GB" w:eastAsia="en-US"/>
    </w:rPr>
  </w:style>
  <w:style w:type="character" w:customStyle="1" w:styleId="GalveneRakstz1">
    <w:name w:val="Galvene Rakstz.1"/>
    <w:basedOn w:val="Noklusjumarindkopasfonts"/>
    <w:uiPriority w:val="99"/>
    <w:semiHidden/>
    <w:rsid w:val="0011702B"/>
    <w:rPr>
      <w:rFonts w:ascii="Times New Roman" w:eastAsia="Times New Roman" w:hAnsi="Times New Roman" w:cs="Times New Roman"/>
      <w:sz w:val="20"/>
      <w:szCs w:val="20"/>
      <w:lang w:eastAsia="lv-LV"/>
    </w:rPr>
  </w:style>
  <w:style w:type="paragraph" w:customStyle="1" w:styleId="naisf">
    <w:name w:val="naisf"/>
    <w:basedOn w:val="Parasts"/>
    <w:rsid w:val="0011702B"/>
    <w:pPr>
      <w:widowControl/>
      <w:autoSpaceDE/>
      <w:autoSpaceDN/>
      <w:adjustRightInd/>
      <w:spacing w:before="75" w:after="75"/>
      <w:ind w:firstLine="375"/>
      <w:jc w:val="both"/>
    </w:pPr>
    <w:rPr>
      <w:sz w:val="24"/>
      <w:szCs w:val="24"/>
    </w:rPr>
  </w:style>
  <w:style w:type="paragraph" w:styleId="Sarakstarindkopa">
    <w:name w:val="List Paragraph"/>
    <w:basedOn w:val="Parasts"/>
    <w:uiPriority w:val="34"/>
    <w:qFormat/>
    <w:rsid w:val="008A0CA3"/>
    <w:pPr>
      <w:ind w:left="720"/>
      <w:contextualSpacing/>
    </w:pPr>
  </w:style>
  <w:style w:type="character" w:styleId="Hipersaite">
    <w:name w:val="Hyperlink"/>
    <w:semiHidden/>
    <w:unhideWhenUsed/>
    <w:rsid w:val="00F23A54"/>
    <w:rPr>
      <w:rFonts w:ascii="Times New Roman" w:hAnsi="Times New Roman" w:cs="Times New Roman" w:hint="default"/>
      <w:color w:val="0000FF"/>
      <w:u w:val="single"/>
    </w:rPr>
  </w:style>
  <w:style w:type="paragraph" w:styleId="Paraststmeklis">
    <w:name w:val="Normal (Web)"/>
    <w:basedOn w:val="Parasts"/>
    <w:unhideWhenUsed/>
    <w:rsid w:val="00F23A54"/>
    <w:pPr>
      <w:widowControl/>
      <w:autoSpaceDE/>
      <w:autoSpaceDN/>
      <w:adjustRightInd/>
      <w:spacing w:before="64" w:after="64"/>
    </w:pPr>
    <w:rPr>
      <w:sz w:val="24"/>
      <w:szCs w:val="24"/>
      <w:lang w:val="en-US" w:eastAsia="en-US"/>
    </w:rPr>
  </w:style>
  <w:style w:type="paragraph" w:styleId="Pamatteksts">
    <w:name w:val="Body Text"/>
    <w:basedOn w:val="Parasts"/>
    <w:link w:val="PamattekstsRakstz"/>
    <w:unhideWhenUsed/>
    <w:rsid w:val="00F23A54"/>
    <w:pPr>
      <w:jc w:val="both"/>
    </w:pPr>
  </w:style>
  <w:style w:type="character" w:customStyle="1" w:styleId="PamattekstsRakstz">
    <w:name w:val="Pamatteksts Rakstz."/>
    <w:basedOn w:val="Noklusjumarindkopasfonts"/>
    <w:link w:val="Pamatteksts"/>
    <w:rsid w:val="00F23A54"/>
    <w:rPr>
      <w:rFonts w:ascii="Times New Roman" w:eastAsia="Times New Roman" w:hAnsi="Times New Roman" w:cs="Times New Roman"/>
      <w:sz w:val="20"/>
      <w:szCs w:val="20"/>
      <w:lang w:eastAsia="lv-LV"/>
    </w:rPr>
  </w:style>
  <w:style w:type="paragraph" w:customStyle="1" w:styleId="naisnod">
    <w:name w:val="naisnod"/>
    <w:basedOn w:val="Parasts"/>
    <w:semiHidden/>
    <w:rsid w:val="00F23A54"/>
    <w:pPr>
      <w:widowControl/>
      <w:autoSpaceDE/>
      <w:autoSpaceDN/>
      <w:adjustRightInd/>
      <w:spacing w:before="150" w:after="150"/>
      <w:jc w:val="center"/>
    </w:pPr>
    <w:rPr>
      <w:b/>
      <w:bCs/>
      <w:sz w:val="24"/>
      <w:szCs w:val="24"/>
    </w:rPr>
  </w:style>
  <w:style w:type="paragraph" w:customStyle="1" w:styleId="naiskr">
    <w:name w:val="naiskr"/>
    <w:basedOn w:val="Parasts"/>
    <w:semiHidden/>
    <w:rsid w:val="00F23A54"/>
    <w:pPr>
      <w:widowControl/>
      <w:autoSpaceDE/>
      <w:autoSpaceDN/>
      <w:adjustRightInd/>
      <w:spacing w:before="75" w:after="75"/>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1702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1702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GalveneRakstz">
    <w:name w:val="Galvene Rakstz."/>
    <w:link w:val="Galvene"/>
    <w:locked/>
    <w:rsid w:val="0011702B"/>
    <w:rPr>
      <w:lang w:val="en-GB"/>
    </w:rPr>
  </w:style>
  <w:style w:type="paragraph" w:styleId="Galvene">
    <w:name w:val="header"/>
    <w:basedOn w:val="Parasts"/>
    <w:link w:val="GalveneRakstz"/>
    <w:rsid w:val="0011702B"/>
    <w:pPr>
      <w:widowControl/>
      <w:tabs>
        <w:tab w:val="center" w:pos="4153"/>
        <w:tab w:val="right" w:pos="8306"/>
      </w:tabs>
      <w:autoSpaceDE/>
      <w:autoSpaceDN/>
      <w:adjustRightInd/>
    </w:pPr>
    <w:rPr>
      <w:rFonts w:asciiTheme="minorHAnsi" w:eastAsiaTheme="minorHAnsi" w:hAnsiTheme="minorHAnsi" w:cstheme="minorBidi"/>
      <w:sz w:val="22"/>
      <w:szCs w:val="22"/>
      <w:lang w:val="en-GB" w:eastAsia="en-US"/>
    </w:rPr>
  </w:style>
  <w:style w:type="character" w:customStyle="1" w:styleId="GalveneRakstz1">
    <w:name w:val="Galvene Rakstz.1"/>
    <w:basedOn w:val="Noklusjumarindkopasfonts"/>
    <w:uiPriority w:val="99"/>
    <w:semiHidden/>
    <w:rsid w:val="0011702B"/>
    <w:rPr>
      <w:rFonts w:ascii="Times New Roman" w:eastAsia="Times New Roman" w:hAnsi="Times New Roman" w:cs="Times New Roman"/>
      <w:sz w:val="20"/>
      <w:szCs w:val="20"/>
      <w:lang w:eastAsia="lv-LV"/>
    </w:rPr>
  </w:style>
  <w:style w:type="paragraph" w:customStyle="1" w:styleId="naisf">
    <w:name w:val="naisf"/>
    <w:basedOn w:val="Parasts"/>
    <w:rsid w:val="0011702B"/>
    <w:pPr>
      <w:widowControl/>
      <w:autoSpaceDE/>
      <w:autoSpaceDN/>
      <w:adjustRightInd/>
      <w:spacing w:before="75" w:after="75"/>
      <w:ind w:firstLine="375"/>
      <w:jc w:val="both"/>
    </w:pPr>
    <w:rPr>
      <w:sz w:val="24"/>
      <w:szCs w:val="24"/>
    </w:rPr>
  </w:style>
  <w:style w:type="paragraph" w:styleId="Sarakstarindkopa">
    <w:name w:val="List Paragraph"/>
    <w:basedOn w:val="Parasts"/>
    <w:uiPriority w:val="34"/>
    <w:qFormat/>
    <w:rsid w:val="008A0CA3"/>
    <w:pPr>
      <w:ind w:left="720"/>
      <w:contextualSpacing/>
    </w:pPr>
  </w:style>
  <w:style w:type="character" w:styleId="Hipersaite">
    <w:name w:val="Hyperlink"/>
    <w:semiHidden/>
    <w:unhideWhenUsed/>
    <w:rsid w:val="00F23A54"/>
    <w:rPr>
      <w:rFonts w:ascii="Times New Roman" w:hAnsi="Times New Roman" w:cs="Times New Roman" w:hint="default"/>
      <w:color w:val="0000FF"/>
      <w:u w:val="single"/>
    </w:rPr>
  </w:style>
  <w:style w:type="paragraph" w:styleId="Paraststmeklis">
    <w:name w:val="Normal (Web)"/>
    <w:basedOn w:val="Parasts"/>
    <w:unhideWhenUsed/>
    <w:rsid w:val="00F23A54"/>
    <w:pPr>
      <w:widowControl/>
      <w:autoSpaceDE/>
      <w:autoSpaceDN/>
      <w:adjustRightInd/>
      <w:spacing w:before="64" w:after="64"/>
    </w:pPr>
    <w:rPr>
      <w:sz w:val="24"/>
      <w:szCs w:val="24"/>
      <w:lang w:val="en-US" w:eastAsia="en-US"/>
    </w:rPr>
  </w:style>
  <w:style w:type="paragraph" w:styleId="Pamatteksts">
    <w:name w:val="Body Text"/>
    <w:basedOn w:val="Parasts"/>
    <w:link w:val="PamattekstsRakstz"/>
    <w:unhideWhenUsed/>
    <w:rsid w:val="00F23A54"/>
    <w:pPr>
      <w:jc w:val="both"/>
    </w:pPr>
  </w:style>
  <w:style w:type="character" w:customStyle="1" w:styleId="PamattekstsRakstz">
    <w:name w:val="Pamatteksts Rakstz."/>
    <w:basedOn w:val="Noklusjumarindkopasfonts"/>
    <w:link w:val="Pamatteksts"/>
    <w:rsid w:val="00F23A54"/>
    <w:rPr>
      <w:rFonts w:ascii="Times New Roman" w:eastAsia="Times New Roman" w:hAnsi="Times New Roman" w:cs="Times New Roman"/>
      <w:sz w:val="20"/>
      <w:szCs w:val="20"/>
      <w:lang w:eastAsia="lv-LV"/>
    </w:rPr>
  </w:style>
  <w:style w:type="paragraph" w:customStyle="1" w:styleId="naisnod">
    <w:name w:val="naisnod"/>
    <w:basedOn w:val="Parasts"/>
    <w:semiHidden/>
    <w:rsid w:val="00F23A54"/>
    <w:pPr>
      <w:widowControl/>
      <w:autoSpaceDE/>
      <w:autoSpaceDN/>
      <w:adjustRightInd/>
      <w:spacing w:before="150" w:after="150"/>
      <w:jc w:val="center"/>
    </w:pPr>
    <w:rPr>
      <w:b/>
      <w:bCs/>
      <w:sz w:val="24"/>
      <w:szCs w:val="24"/>
    </w:rPr>
  </w:style>
  <w:style w:type="paragraph" w:customStyle="1" w:styleId="naiskr">
    <w:name w:val="naiskr"/>
    <w:basedOn w:val="Parasts"/>
    <w:semiHidden/>
    <w:rsid w:val="00F23A54"/>
    <w:pPr>
      <w:widowControl/>
      <w:autoSpaceDE/>
      <w:autoSpaceDN/>
      <w:adjustRightInd/>
      <w:spacing w:before="75" w:after="7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ais.lv/text.cfm?Key=01030119970604327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2466</Words>
  <Characters>1406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Laima Liepiņa</cp:lastModifiedBy>
  <cp:revision>2</cp:revision>
  <cp:lastPrinted>2014-10-23T09:06:00Z</cp:lastPrinted>
  <dcterms:created xsi:type="dcterms:W3CDTF">2014-10-23T09:07:00Z</dcterms:created>
  <dcterms:modified xsi:type="dcterms:W3CDTF">2014-10-23T09:07:00Z</dcterms:modified>
</cp:coreProperties>
</file>