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8C61" w14:textId="77777777" w:rsidR="004C3BDD" w:rsidRDefault="004C3BDD" w:rsidP="004C3BDD">
      <w:pPr>
        <w:spacing w:after="0"/>
        <w:rPr>
          <w:rFonts w:ascii="Times New Roman" w:hAnsi="Times New Roman"/>
          <w:bCs/>
          <w:sz w:val="24"/>
          <w:szCs w:val="24"/>
          <w:lang w:eastAsia="lv-LV" w:bidi="lo-LA"/>
        </w:rPr>
      </w:pPr>
    </w:p>
    <w:p w14:paraId="4FEF18F8" w14:textId="1D6D3ED1" w:rsidR="004C3BDD" w:rsidRPr="00021EA1" w:rsidRDefault="004C3BDD" w:rsidP="004C3BDD">
      <w:pPr>
        <w:spacing w:after="0"/>
        <w:rPr>
          <w:rFonts w:ascii="Times New Roman" w:hAnsi="Times New Roman"/>
          <w:bCs/>
          <w:sz w:val="24"/>
          <w:szCs w:val="24"/>
          <w:lang w:eastAsia="lv-LV" w:bidi="lo-LA"/>
        </w:rPr>
      </w:pPr>
      <w:r>
        <w:rPr>
          <w:rFonts w:ascii="Times New Roman" w:hAnsi="Times New Roman"/>
          <w:bCs/>
          <w:sz w:val="24"/>
          <w:szCs w:val="24"/>
          <w:lang w:eastAsia="lv-LV" w:bidi="lo-LA"/>
        </w:rPr>
        <w:t>M</w:t>
      </w: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 xml:space="preserve">adonas novada pašvaldības saistošie noteikumi Nr. </w:t>
      </w:r>
      <w:r>
        <w:rPr>
          <w:rFonts w:ascii="Times New Roman" w:hAnsi="Times New Roman"/>
          <w:bCs/>
          <w:sz w:val="24"/>
          <w:szCs w:val="24"/>
          <w:lang w:eastAsia="lv-LV" w:bidi="lo-LA"/>
        </w:rPr>
        <w:t>__</w:t>
      </w:r>
    </w:p>
    <w:p w14:paraId="229DBFC2" w14:textId="36C6B7DE" w:rsidR="004C3BDD" w:rsidRPr="00021EA1" w:rsidRDefault="004C3BDD" w:rsidP="004C3BDD">
      <w:pPr>
        <w:spacing w:after="0"/>
        <w:rPr>
          <w:rFonts w:ascii="Times New Roman" w:hAnsi="Times New Roman"/>
          <w:bCs/>
          <w:sz w:val="24"/>
          <w:szCs w:val="24"/>
          <w:lang w:eastAsia="lv-LV" w:bidi="lo-LA"/>
        </w:rPr>
      </w:pP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>Madonā, 202</w:t>
      </w:r>
      <w:r>
        <w:rPr>
          <w:rFonts w:ascii="Times New Roman" w:hAnsi="Times New Roman"/>
          <w:bCs/>
          <w:sz w:val="24"/>
          <w:szCs w:val="24"/>
          <w:lang w:eastAsia="lv-LV" w:bidi="lo-LA"/>
        </w:rPr>
        <w:t>6</w:t>
      </w: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 xml:space="preserve">.gada </w:t>
      </w:r>
      <w:r>
        <w:rPr>
          <w:rFonts w:ascii="Times New Roman" w:hAnsi="Times New Roman"/>
          <w:bCs/>
          <w:sz w:val="24"/>
          <w:szCs w:val="24"/>
          <w:lang w:eastAsia="lv-LV" w:bidi="lo-LA"/>
        </w:rPr>
        <w:t>__</w:t>
      </w:r>
      <w:r w:rsidRPr="00021EA1">
        <w:rPr>
          <w:rFonts w:ascii="Times New Roman" w:hAnsi="Times New Roman"/>
          <w:bCs/>
          <w:sz w:val="24"/>
          <w:szCs w:val="24"/>
          <w:lang w:eastAsia="lv-LV" w:bidi="lo-LA"/>
        </w:rPr>
        <w:t xml:space="preserve"> . </w:t>
      </w:r>
      <w:r w:rsidRPr="008E087D">
        <w:rPr>
          <w:rFonts w:ascii="Times New Roman" w:hAnsi="Times New Roman"/>
          <w:sz w:val="24"/>
          <w:szCs w:val="24"/>
        </w:rPr>
        <w:t xml:space="preserve">_____________ (prot. Nr. </w:t>
      </w:r>
      <w:r>
        <w:rPr>
          <w:rFonts w:ascii="Times New Roman" w:hAnsi="Times New Roman"/>
          <w:sz w:val="24"/>
          <w:szCs w:val="24"/>
        </w:rPr>
        <w:t>___</w:t>
      </w:r>
      <w:r w:rsidRPr="008E08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</w:t>
      </w:r>
      <w:r w:rsidRPr="008E087D">
        <w:rPr>
          <w:rFonts w:ascii="Times New Roman" w:hAnsi="Times New Roman"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)</w:t>
      </w:r>
    </w:p>
    <w:p w14:paraId="18D22AE7" w14:textId="77777777" w:rsidR="004C3BDD" w:rsidRDefault="004C3BDD" w:rsidP="004C3BDD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8"/>
          <w:szCs w:val="28"/>
          <w:lang w:eastAsia="lv-LV"/>
        </w:rPr>
      </w:pPr>
    </w:p>
    <w:p w14:paraId="55606C53" w14:textId="536BED13" w:rsidR="004C3BDD" w:rsidRPr="004C3BDD" w:rsidRDefault="004C3BDD" w:rsidP="004C3B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4C3B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P</w:t>
      </w:r>
      <w:r w:rsidRPr="004C3B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ar pašvaldības nodevām Madonas novadā</w:t>
      </w:r>
    </w:p>
    <w:p w14:paraId="1BBD87F9" w14:textId="6FC5ED7A" w:rsidR="004C3BDD" w:rsidRPr="004C3BDD" w:rsidRDefault="004C3BDD" w:rsidP="00A33F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 w:bidi="lo-LA"/>
          <w14:ligatures w14:val="none"/>
        </w:rPr>
      </w:pP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>Izdoti saskaņā ar likuma "</w:t>
      </w:r>
      <w:hyperlink r:id="rId5" w:tgtFrame="_blank" w:history="1">
        <w:r w:rsidRPr="004C3BDD">
          <w:rPr>
            <w:rStyle w:val="Hipersaite"/>
            <w:rFonts w:ascii="Times New Roman" w:hAnsi="Times New Roman" w:cs="Times New Roman"/>
            <w:i/>
            <w:iCs/>
            <w:color w:val="16497B"/>
            <w:sz w:val="20"/>
            <w:szCs w:val="20"/>
            <w:shd w:val="clear" w:color="auto" w:fill="FFFFFF"/>
          </w:rPr>
          <w:t>Par nodokļiem un nodevām</w:t>
        </w:r>
      </w:hyperlink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>"</w:t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</w:rPr>
        <w:br/>
      </w:r>
      <w:hyperlink r:id="rId6" w:anchor="p12" w:tgtFrame="_blank" w:history="1">
        <w:r w:rsidRPr="004C3BDD">
          <w:rPr>
            <w:rStyle w:val="Hipersaite"/>
            <w:rFonts w:ascii="Times New Roman" w:hAnsi="Times New Roman" w:cs="Times New Roman"/>
            <w:i/>
            <w:iCs/>
            <w:color w:val="16497B"/>
            <w:sz w:val="20"/>
            <w:szCs w:val="20"/>
            <w:shd w:val="clear" w:color="auto" w:fill="FFFFFF"/>
          </w:rPr>
          <w:t>12. panta</w:t>
        </w:r>
      </w:hyperlink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 xml:space="preserve"> pirmās </w:t>
      </w:r>
      <w:r w:rsidRPr="00A33FAC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>daļas 1., 2.punktu</w:t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 xml:space="preserve"> un Ministru kabineta</w:t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</w:rPr>
        <w:br/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>2005. gada 28. jūnija noteikumu Nr. 480 "Noteikumi par kārtību,</w:t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</w:rPr>
        <w:br/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>kādā pašvaldības var uzlikt pašvaldības nodevas" 16.</w:t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  <w:vertAlign w:val="superscript"/>
        </w:rPr>
        <w:t>1</w:t>
      </w:r>
      <w:r w:rsidRPr="004C3BDD">
        <w:rPr>
          <w:rFonts w:ascii="Times New Roman" w:hAnsi="Times New Roman" w:cs="Times New Roman"/>
          <w:i/>
          <w:iCs/>
          <w:color w:val="414142"/>
          <w:sz w:val="20"/>
          <w:szCs w:val="20"/>
          <w:shd w:val="clear" w:color="auto" w:fill="FFFFFF"/>
        </w:rPr>
        <w:t> punktu</w:t>
      </w:r>
    </w:p>
    <w:p w14:paraId="3798A84F" w14:textId="77777777" w:rsidR="004C3BDD" w:rsidRPr="004C3BDD" w:rsidRDefault="004C3BDD" w:rsidP="00A33FAC">
      <w:pPr>
        <w:widowControl w:val="0"/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b/>
          <w:color w:val="FF0000"/>
          <w:sz w:val="24"/>
          <w:szCs w:val="24"/>
          <w:lang w:eastAsia="lv-LV"/>
          <w14:ligatures w14:val="none"/>
        </w:rPr>
      </w:pPr>
    </w:p>
    <w:p w14:paraId="767DB52A" w14:textId="77777777" w:rsidR="004C3BDD" w:rsidRPr="004C3BDD" w:rsidRDefault="004C3BDD" w:rsidP="004C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I. Vispārīgie jautājumi</w:t>
      </w:r>
    </w:p>
    <w:p w14:paraId="4F9BFDA0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5DB639" w14:textId="45174839" w:rsidR="004C3BDD" w:rsidRPr="009F4F7F" w:rsidRDefault="004C3BDD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Saistošie noteikumi nosaka Madonas novada pašvaldības nodev</w:t>
      </w:r>
      <w:r w:rsidR="009F4F7F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 </w:t>
      </w:r>
      <w:r w:rsidR="009F4F7F"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par pašvaldības izstrādāto oficiālo dokumentu un to atvasinājumu saņemšanu, izklaidējoša rakstura pasākumu sarīkošanu publiskās vietās,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nodev</w:t>
      </w:r>
      <w:r w:rsidR="009F4F7F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apmērus, nodev</w:t>
      </w:r>
      <w:r w:rsidR="009F4F7F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maksāšanas kārtību un nodevas maksātāju</w:t>
      </w:r>
      <w:r w:rsidR="00A3602C" w:rsidRPr="009F4F7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kategorijas, </w:t>
      </w:r>
      <w:r w:rsidR="00A3602C"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kuras atbrīvotas no nodevu samaksas vai kurām piešķirti atvieglojumi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463B22D" w14:textId="4359100E" w:rsidR="004C3BDD" w:rsidRPr="009F4F7F" w:rsidRDefault="00A3602C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F4F7F">
        <w:rPr>
          <w:rFonts w:ascii="Times New Roman" w:hAnsi="Times New Roman" w:cs="Times New Roman"/>
          <w:sz w:val="24"/>
          <w:szCs w:val="24"/>
          <w:shd w:val="clear" w:color="auto" w:fill="FFFFFF"/>
        </w:rPr>
        <w:t>Papildus šajos saistošajos noteikumos reglamentētajām pašvaldības nodevām atsevišķus pašvaldību nodevu veidus (nodevu objektus, likmes, maksāšanas kārtību un maksātāju kategorijas) reglamentē citi pašvaldības saistošie noteikumi.</w:t>
      </w:r>
    </w:p>
    <w:p w14:paraId="4AC9BBCE" w14:textId="0E987693" w:rsidR="009F4F7F" w:rsidRPr="00133FAC" w:rsidRDefault="009F4F7F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33FAC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133FAC">
        <w:rPr>
          <w:rFonts w:ascii="Times New Roman" w:hAnsi="Times New Roman" w:cs="Times New Roman"/>
          <w:sz w:val="24"/>
          <w:szCs w:val="24"/>
          <w:shd w:val="clear" w:color="auto" w:fill="FFFFFF"/>
        </w:rPr>
        <w:t>ašvaldības nodevu maksātāji ir fiziskas un juridiskas personas.</w:t>
      </w:r>
    </w:p>
    <w:p w14:paraId="2F4BF749" w14:textId="77777777" w:rsidR="00A3602C" w:rsidRPr="004C3BDD" w:rsidRDefault="00A3602C" w:rsidP="009F4F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FB73E4B" w14:textId="77777777" w:rsidR="004C3BDD" w:rsidRPr="004C3BDD" w:rsidRDefault="004C3BDD" w:rsidP="004C3BDD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II. Ar pašvaldības nodevu apliekamie objekti un nodevas likmes</w:t>
      </w:r>
    </w:p>
    <w:p w14:paraId="0F75FFD4" w14:textId="36B4E1FA" w:rsidR="00133FAC" w:rsidRPr="00133FAC" w:rsidRDefault="00133FAC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33FAC">
        <w:rPr>
          <w:rFonts w:ascii="Times New Roman" w:hAnsi="Times New Roman" w:cs="Times New Roman"/>
          <w:sz w:val="24"/>
          <w:szCs w:val="24"/>
          <w:shd w:val="clear" w:color="auto" w:fill="FFFFFF"/>
        </w:rPr>
        <w:t>Nodeva par pašvaldības izstrādāto oficiālo dokumentu un to atvasinājumu saņemšanu ir noteikta šādā apmērā:</w:t>
      </w:r>
    </w:p>
    <w:p w14:paraId="7417723E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87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6561"/>
        <w:gridCol w:w="1405"/>
      </w:tblGrid>
      <w:tr w:rsidR="004C3BDD" w:rsidRPr="004C3BDD" w14:paraId="0A364B58" w14:textId="77777777" w:rsidTr="00730584">
        <w:tc>
          <w:tcPr>
            <w:tcW w:w="741" w:type="dxa"/>
            <w:tcBorders>
              <w:right w:val="single" w:sz="4" w:space="0" w:color="auto"/>
            </w:tcBorders>
          </w:tcPr>
          <w:p w14:paraId="5E5C46BB" w14:textId="77777777" w:rsidR="004C3BDD" w:rsidRPr="002C7B56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286BBFE" w14:textId="14AA2DC7" w:rsidR="002C7B56" w:rsidRPr="004C3BDD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C7B5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N.p.k</w:t>
            </w:r>
            <w:proofErr w:type="spellEnd"/>
            <w:r w:rsidRPr="002C7B5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  <w:vAlign w:val="center"/>
          </w:tcPr>
          <w:p w14:paraId="45E6E8B3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v-LV"/>
                <w14:ligatures w14:val="none"/>
              </w:rPr>
              <w:t>Nodevas objekts</w:t>
            </w:r>
          </w:p>
        </w:tc>
        <w:tc>
          <w:tcPr>
            <w:tcW w:w="1405" w:type="dxa"/>
            <w:vAlign w:val="center"/>
          </w:tcPr>
          <w:p w14:paraId="4679E44F" w14:textId="333B0334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D421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Nodevas l</w:t>
            </w:r>
            <w:r w:rsidR="004C3BDD" w:rsidRPr="004C3BD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ikme</w:t>
            </w:r>
          </w:p>
          <w:p w14:paraId="4D3876E7" w14:textId="04893B0F" w:rsidR="004C3BDD" w:rsidRPr="004C3BDD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p</w:t>
            </w:r>
            <w:r w:rsidR="00133FAC" w:rsidRPr="00D421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ar vienu dokumentu</w:t>
            </w:r>
            <w:r w:rsidR="004C3BDD" w:rsidRPr="004C3BD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 xml:space="preserve"> (</w:t>
            </w:r>
            <w:proofErr w:type="spellStart"/>
            <w:r w:rsidR="004C3BDD" w:rsidRPr="004C3BDD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euro</w:t>
            </w:r>
            <w:proofErr w:type="spellEnd"/>
            <w:r w:rsidR="004C3BDD" w:rsidRPr="004C3BDD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</w:tr>
      <w:tr w:rsidR="004C3BDD" w:rsidRPr="004C3BDD" w14:paraId="031C6FCB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FF53720" w14:textId="4BDE785B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5D509D64" w14:textId="30520984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izziņa 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ar 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informāciju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no 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pašvaldības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arhīva</w:t>
            </w:r>
          </w:p>
        </w:tc>
        <w:tc>
          <w:tcPr>
            <w:tcW w:w="1405" w:type="dxa"/>
            <w:vAlign w:val="center"/>
          </w:tcPr>
          <w:p w14:paraId="78B2EC34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5.00</w:t>
            </w:r>
          </w:p>
        </w:tc>
      </w:tr>
      <w:tr w:rsidR="004C3BDD" w:rsidRPr="004C3BDD" w14:paraId="567D4E93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54C6C4A5" w14:textId="66F8361B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6872C801" w14:textId="58650E44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izziņa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 nekustamo īpašumu (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informācija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32102F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teritorijas plānojum</w:t>
            </w:r>
            <w:r w:rsidR="00730584" w:rsidRPr="00D42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1405" w:type="dxa"/>
            <w:vAlign w:val="center"/>
          </w:tcPr>
          <w:p w14:paraId="166FB4F1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20.00</w:t>
            </w:r>
          </w:p>
        </w:tc>
      </w:tr>
      <w:tr w:rsidR="004C3BDD" w:rsidRPr="004C3BDD" w14:paraId="3D814B3E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03C531E" w14:textId="554C45DF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454D6716" w14:textId="67BA5DCC" w:rsidR="004C3BDD" w:rsidRPr="004C3BDD" w:rsidRDefault="00D42171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zziņa par civilstāvokļa akta reģistrāciju vai civilstāvokļa akta reģistra ieraksta neesību</w:t>
            </w:r>
          </w:p>
        </w:tc>
        <w:tc>
          <w:tcPr>
            <w:tcW w:w="1405" w:type="dxa"/>
          </w:tcPr>
          <w:p w14:paraId="457891E1" w14:textId="77777777" w:rsidR="004C3BDD" w:rsidRPr="004C3BDD" w:rsidRDefault="004C3BDD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6,00</w:t>
            </w:r>
          </w:p>
        </w:tc>
      </w:tr>
      <w:tr w:rsidR="004C3BDD" w:rsidRPr="004C3BDD" w14:paraId="72888AB4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20149F15" w14:textId="1E4302B6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5227A8B1" w14:textId="57B835BB" w:rsidR="004C3BDD" w:rsidRPr="004C3BDD" w:rsidRDefault="00D42171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audzvalodu standarta veidlapa izziņai par civilstāvokļa akta reģistrāciju vai atkārtotai civilstāvokļa aktu reģistrācijas apliecībai</w:t>
            </w:r>
          </w:p>
        </w:tc>
        <w:tc>
          <w:tcPr>
            <w:tcW w:w="1405" w:type="dxa"/>
          </w:tcPr>
          <w:p w14:paraId="567F73C1" w14:textId="77777777" w:rsidR="004C3BDD" w:rsidRPr="004C3BDD" w:rsidRDefault="004C3BDD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7,00</w:t>
            </w:r>
          </w:p>
        </w:tc>
      </w:tr>
      <w:tr w:rsidR="004C3BDD" w:rsidRPr="004C3BDD" w14:paraId="2DC93F42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616C35BE" w14:textId="232E0371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0F569763" w14:textId="42065824" w:rsidR="004C3BDD" w:rsidRPr="004C3BDD" w:rsidRDefault="004C3BDD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Civilstāvokļa aktu reģistra ierakst</w:t>
            </w:r>
            <w:r w:rsidR="00505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</w:t>
            </w: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kas Madonas novada Dzimtsarakstu nodaļā glabājas papīra formā</w:t>
            </w:r>
            <w:r w:rsidR="00D421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</w:t>
            </w: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kopija</w:t>
            </w:r>
          </w:p>
        </w:tc>
        <w:tc>
          <w:tcPr>
            <w:tcW w:w="1405" w:type="dxa"/>
          </w:tcPr>
          <w:p w14:paraId="07FA70E2" w14:textId="1E2ECFAB" w:rsidR="004C3BDD" w:rsidRPr="004C3BDD" w:rsidRDefault="00D42171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  <w:tr w:rsidR="004C3BDD" w:rsidRPr="004C3BDD" w14:paraId="0A0B5017" w14:textId="77777777" w:rsidTr="00730584"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14:paraId="1C8C8073" w14:textId="31536A2E" w:rsidR="004C3BDD" w:rsidRPr="004C3BDD" w:rsidRDefault="00133FAC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505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6561" w:type="dxa"/>
            <w:tcBorders>
              <w:left w:val="single" w:sz="4" w:space="0" w:color="auto"/>
            </w:tcBorders>
          </w:tcPr>
          <w:p w14:paraId="55287B77" w14:textId="77777777" w:rsidR="004C3BDD" w:rsidRPr="004C3BDD" w:rsidRDefault="004C3BDD" w:rsidP="004C3B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Civilstāvokļa aktu reģistra ieraksta </w:t>
            </w:r>
            <w:proofErr w:type="spellStart"/>
            <w:r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datorizdruka</w:t>
            </w:r>
            <w:proofErr w:type="spellEnd"/>
          </w:p>
        </w:tc>
        <w:tc>
          <w:tcPr>
            <w:tcW w:w="1405" w:type="dxa"/>
          </w:tcPr>
          <w:p w14:paraId="0D156D35" w14:textId="163E436A" w:rsidR="004C3BDD" w:rsidRPr="004C3BDD" w:rsidRDefault="00D42171" w:rsidP="004C3BDD">
            <w:pPr>
              <w:spacing w:after="0" w:line="276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4C3BDD" w:rsidRPr="004C3B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,00</w:t>
            </w:r>
          </w:p>
        </w:tc>
      </w:tr>
    </w:tbl>
    <w:p w14:paraId="30E7A2BB" w14:textId="77777777" w:rsidR="00C741B4" w:rsidRDefault="00C741B4" w:rsidP="00C741B4">
      <w:pPr>
        <w:suppressAutoHyphens/>
        <w:spacing w:after="0" w:line="240" w:lineRule="auto"/>
        <w:ind w:left="567"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bookmarkStart w:id="0" w:name="_Hlk121924115"/>
    </w:p>
    <w:p w14:paraId="3A4CBF72" w14:textId="58D3B537" w:rsidR="006055B1" w:rsidRPr="00C741B4" w:rsidRDefault="00C741B4" w:rsidP="00C741B4">
      <w:pPr>
        <w:pStyle w:val="Sarakstarindko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0556F">
        <w:rPr>
          <w:rFonts w:ascii="Times New Roman" w:hAnsi="Times New Roman" w:cs="Times New Roman"/>
          <w:sz w:val="24"/>
          <w:szCs w:val="24"/>
          <w:shd w:val="clear" w:color="auto" w:fill="FFFFFF"/>
        </w:rPr>
        <w:t>Papildus normatīvajos aktos noteiktajam</w:t>
      </w:r>
      <w:r w:rsidRPr="00C74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nodevas samaksas par pašvaldības izstrādāto oficiālo dokumentu un to atvasinājumu saņemšanu atbrīvotas šādas personas (uzrādot attiecīgu statusu apliecinošu dokumentu)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D5943A5" w14:textId="6D0566D5" w:rsidR="006055B1" w:rsidRPr="004C3BDD" w:rsidRDefault="006055B1" w:rsidP="006055B1">
      <w:pPr>
        <w:numPr>
          <w:ilvl w:val="1"/>
          <w:numId w:val="1"/>
        </w:numPr>
        <w:suppressAutoHyphens/>
        <w:spacing w:after="0" w:line="240" w:lineRule="auto"/>
        <w:ind w:hanging="7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person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ar I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vai II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 grupas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invaliditāt</w:t>
      </w:r>
      <w:r w:rsidR="00C741B4" w:rsidRPr="0050556F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i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068C763C" w14:textId="0211FBC8" w:rsidR="006055B1" w:rsidRPr="004C3BDD" w:rsidRDefault="006055B1" w:rsidP="006055B1">
      <w:pPr>
        <w:numPr>
          <w:ilvl w:val="1"/>
          <w:numId w:val="1"/>
        </w:numPr>
        <w:suppressAutoHyphens/>
        <w:spacing w:after="0" w:line="240" w:lineRule="auto"/>
        <w:ind w:hanging="7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person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 kura normatīvajos aktos noteiktā kārtībā ir atzīta par trūcīgu;</w:t>
      </w:r>
    </w:p>
    <w:p w14:paraId="55A08754" w14:textId="65D770C0" w:rsidR="006055B1" w:rsidRPr="004C3BDD" w:rsidRDefault="006055B1" w:rsidP="006055B1">
      <w:pPr>
        <w:numPr>
          <w:ilvl w:val="1"/>
          <w:numId w:val="1"/>
        </w:numPr>
        <w:suppressAutoHyphens/>
        <w:spacing w:after="0" w:line="240" w:lineRule="auto"/>
        <w:ind w:left="357" w:hanging="7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bāreni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vai bez vecāku gādības pali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cis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bērn</w:t>
      </w:r>
      <w:r w:rsidR="0027403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</w:t>
      </w:r>
      <w:r w:rsidRPr="004C3BD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pēc pilngadības sasniegšanas līdz 24 gadu vecuma sasniegšanai</w:t>
      </w:r>
      <w:r w:rsidR="00A33FA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bookmarkEnd w:id="0"/>
    <w:p w14:paraId="6A83D216" w14:textId="6FE3307B" w:rsidR="006055B1" w:rsidRDefault="006055B1" w:rsidP="004C3BDD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9C7C050" w14:textId="77777777" w:rsidR="00A33FAC" w:rsidRPr="004C3BDD" w:rsidRDefault="00A33FAC" w:rsidP="004C3BDD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E2BCE83" w14:textId="5271D703" w:rsidR="004C3BDD" w:rsidRDefault="004C3BDD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Publiska izklaidējoša rakstura </w:t>
      </w:r>
      <w:r w:rsidR="00211D4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komerciālu 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pasākumu </w:t>
      </w:r>
      <w:r w:rsidR="00211D4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(iekasējot no apmeklētājiem ieejas maksu)</w:t>
      </w:r>
      <w:r w:rsidR="00211D4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448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</w:t>
      </w: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rīkošana publiskās vietās</w:t>
      </w:r>
      <w:r w:rsidR="002C7B5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ir noteikta šādā apmērā: </w:t>
      </w:r>
    </w:p>
    <w:p w14:paraId="18D6113F" w14:textId="77777777" w:rsidR="002C7B56" w:rsidRPr="004C3BDD" w:rsidRDefault="002C7B56" w:rsidP="002C7B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87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6379"/>
        <w:gridCol w:w="1446"/>
      </w:tblGrid>
      <w:tr w:rsidR="004C3BDD" w:rsidRPr="004C3BDD" w14:paraId="21C8EDE2" w14:textId="77777777" w:rsidTr="00532F51">
        <w:tc>
          <w:tcPr>
            <w:tcW w:w="882" w:type="dxa"/>
            <w:tcBorders>
              <w:right w:val="single" w:sz="4" w:space="0" w:color="auto"/>
            </w:tcBorders>
          </w:tcPr>
          <w:p w14:paraId="019E4AFD" w14:textId="6ADB081A" w:rsidR="004C3BDD" w:rsidRPr="004C3BDD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C7B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N.p.k</w:t>
            </w:r>
            <w:proofErr w:type="spellEnd"/>
            <w:r w:rsidRPr="002C7B5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0AF85C2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v-LV"/>
                <w14:ligatures w14:val="none"/>
              </w:rPr>
              <w:t>Nodevas objekts</w:t>
            </w:r>
          </w:p>
        </w:tc>
        <w:tc>
          <w:tcPr>
            <w:tcW w:w="1446" w:type="dxa"/>
            <w:vAlign w:val="center"/>
          </w:tcPr>
          <w:p w14:paraId="58AB1FA5" w14:textId="1189EF83" w:rsidR="004C3BDD" w:rsidRPr="004C3BDD" w:rsidRDefault="002C7B56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Nodevas l</w:t>
            </w:r>
            <w:r w:rsidR="004C3BDD" w:rsidRPr="004C3B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ikme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dienā </w:t>
            </w:r>
          </w:p>
          <w:p w14:paraId="37E9DCD0" w14:textId="6CC80D04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4C3BDD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euro</w:t>
            </w:r>
            <w:proofErr w:type="spellEnd"/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4C3BDD" w:rsidRPr="004C3BDD" w14:paraId="5F5A4A71" w14:textId="77777777" w:rsidTr="00532F51"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345AB42B" w14:textId="53C7FBFF" w:rsidR="004C3BDD" w:rsidRPr="004C3BDD" w:rsidRDefault="00C741B4" w:rsidP="0008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6BEB0E3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Madonas pilsētā:</w:t>
            </w:r>
          </w:p>
        </w:tc>
        <w:tc>
          <w:tcPr>
            <w:tcW w:w="1446" w:type="dxa"/>
            <w:vAlign w:val="center"/>
          </w:tcPr>
          <w:p w14:paraId="2C94B115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C3BDD" w:rsidRPr="004C3BDD" w14:paraId="25DA4DB5" w14:textId="77777777" w:rsidTr="00532F51"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25E6CCC2" w14:textId="4430A80B" w:rsidR="004C3BDD" w:rsidRPr="004C3BDD" w:rsidRDefault="00C741B4" w:rsidP="004C3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.1.1.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24A040C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Estrādē</w:t>
            </w:r>
          </w:p>
        </w:tc>
        <w:tc>
          <w:tcPr>
            <w:tcW w:w="1446" w:type="dxa"/>
            <w:vAlign w:val="center"/>
          </w:tcPr>
          <w:p w14:paraId="0C8A0479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150,00</w:t>
            </w:r>
          </w:p>
        </w:tc>
      </w:tr>
      <w:tr w:rsidR="004C3BDD" w:rsidRPr="004C3BDD" w14:paraId="2245DF5B" w14:textId="77777777" w:rsidTr="00532F51"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14:paraId="42E3D1A0" w14:textId="622589D4" w:rsidR="004C3BDD" w:rsidRPr="004C3BDD" w:rsidRDefault="00C741B4" w:rsidP="004C3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.1.2.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14:paraId="38EDBBCB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Saieta laukumā, Mīlestības graviņā, kartinga trasē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134A3E54" w14:textId="77777777" w:rsidR="004C3BDD" w:rsidRPr="004C3BDD" w:rsidRDefault="004C3BDD" w:rsidP="004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100,00</w:t>
            </w:r>
          </w:p>
        </w:tc>
      </w:tr>
      <w:tr w:rsidR="004C3BDD" w:rsidRPr="004C3BDD" w14:paraId="4F948573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82" w:type="dxa"/>
          </w:tcPr>
          <w:p w14:paraId="6D965A6E" w14:textId="1AD5A7CC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.1.3.</w:t>
            </w:r>
          </w:p>
        </w:tc>
        <w:tc>
          <w:tcPr>
            <w:tcW w:w="6379" w:type="dxa"/>
          </w:tcPr>
          <w:p w14:paraId="3C182CE4" w14:textId="77777777" w:rsidR="004C3BDD" w:rsidRPr="004C3BDD" w:rsidRDefault="004C3BDD" w:rsidP="004C3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Priežu kalnā</w:t>
            </w:r>
          </w:p>
        </w:tc>
        <w:tc>
          <w:tcPr>
            <w:tcW w:w="1446" w:type="dxa"/>
            <w:vAlign w:val="center"/>
          </w:tcPr>
          <w:p w14:paraId="067EF548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50,00</w:t>
            </w:r>
          </w:p>
        </w:tc>
      </w:tr>
      <w:tr w:rsidR="004C3BDD" w:rsidRPr="004C3BDD" w14:paraId="07EF6D8A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82" w:type="dxa"/>
          </w:tcPr>
          <w:p w14:paraId="0FD072C2" w14:textId="4DAE75F5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.1.4.</w:t>
            </w:r>
          </w:p>
        </w:tc>
        <w:tc>
          <w:tcPr>
            <w:tcW w:w="6379" w:type="dxa"/>
          </w:tcPr>
          <w:p w14:paraId="4ACF381F" w14:textId="79C86E35" w:rsidR="004C3BDD" w:rsidRPr="004C3BDD" w:rsidRDefault="00211D43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asākuma </w:t>
            </w:r>
            <w:r w:rsidR="00E67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rīkošana pārējās teritorijās par katru vietu pilsētas teritorijā </w:t>
            </w:r>
          </w:p>
        </w:tc>
        <w:tc>
          <w:tcPr>
            <w:tcW w:w="1446" w:type="dxa"/>
            <w:vAlign w:val="center"/>
          </w:tcPr>
          <w:p w14:paraId="0AA8C738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25,00</w:t>
            </w:r>
          </w:p>
        </w:tc>
      </w:tr>
      <w:tr w:rsidR="0078407B" w:rsidRPr="004C3BDD" w14:paraId="6936587E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82" w:type="dxa"/>
          </w:tcPr>
          <w:p w14:paraId="514CDF69" w14:textId="6BF22843" w:rsidR="0078407B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.1.5. </w:t>
            </w:r>
          </w:p>
        </w:tc>
        <w:tc>
          <w:tcPr>
            <w:tcW w:w="6379" w:type="dxa"/>
          </w:tcPr>
          <w:p w14:paraId="0D2393AB" w14:textId="227C6CA7" w:rsidR="0078407B" w:rsidRDefault="0078407B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Atrakcijas (karuseļi, piepūšamās atrakcijas, seju apgleznošana, zirgu izjādes u.c.) 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.punktos noteiktajās teritorijā</w:t>
            </w:r>
          </w:p>
        </w:tc>
        <w:tc>
          <w:tcPr>
            <w:tcW w:w="1446" w:type="dxa"/>
            <w:vAlign w:val="center"/>
          </w:tcPr>
          <w:p w14:paraId="28E4B667" w14:textId="5451E517" w:rsidR="0078407B" w:rsidRPr="004C3BDD" w:rsidRDefault="0078407B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20,00</w:t>
            </w:r>
          </w:p>
        </w:tc>
      </w:tr>
      <w:tr w:rsidR="004C3BDD" w:rsidRPr="004C3BDD" w14:paraId="129EC7EA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82" w:type="dxa"/>
          </w:tcPr>
          <w:p w14:paraId="0749F179" w14:textId="3A336375" w:rsidR="004C3BDD" w:rsidRPr="004C3BDD" w:rsidRDefault="00C741B4" w:rsidP="0020558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</w:t>
            </w:r>
          </w:p>
        </w:tc>
        <w:tc>
          <w:tcPr>
            <w:tcW w:w="6379" w:type="dxa"/>
          </w:tcPr>
          <w:p w14:paraId="3AC1541F" w14:textId="4E88DD50" w:rsidR="004C3BDD" w:rsidRPr="004C3BDD" w:rsidRDefault="004C3BDD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Novada pagastos</w:t>
            </w:r>
            <w:r w:rsidR="006F56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apvienībās</w:t>
            </w:r>
            <w:r w:rsidR="006F56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 un pilsētās (izņemot Madonas pilsētu)</w:t>
            </w:r>
            <w:r w:rsidRPr="004C3BD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1446" w:type="dxa"/>
            <w:vAlign w:val="center"/>
          </w:tcPr>
          <w:p w14:paraId="25C506B3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4C3BDD" w:rsidRPr="004C3BDD" w14:paraId="4BDF7795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82" w:type="dxa"/>
          </w:tcPr>
          <w:p w14:paraId="70680909" w14:textId="757309E8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.2.1.</w:t>
            </w:r>
          </w:p>
        </w:tc>
        <w:tc>
          <w:tcPr>
            <w:tcW w:w="6379" w:type="dxa"/>
          </w:tcPr>
          <w:p w14:paraId="622FA4D7" w14:textId="77777777" w:rsidR="004C3BDD" w:rsidRPr="004C3BDD" w:rsidRDefault="004C3BDD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Estrādē</w:t>
            </w:r>
          </w:p>
        </w:tc>
        <w:tc>
          <w:tcPr>
            <w:tcW w:w="1446" w:type="dxa"/>
            <w:vAlign w:val="center"/>
          </w:tcPr>
          <w:p w14:paraId="58D3AEA3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50,00</w:t>
            </w:r>
          </w:p>
        </w:tc>
      </w:tr>
      <w:tr w:rsidR="004C3BDD" w:rsidRPr="004C3BDD" w14:paraId="11FC9F32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882" w:type="dxa"/>
          </w:tcPr>
          <w:p w14:paraId="56FB7D33" w14:textId="6E800C1B" w:rsidR="004C3BDD" w:rsidRPr="004C3BDD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.2.</w:t>
            </w:r>
            <w:r w:rsidR="00211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  <w:tc>
          <w:tcPr>
            <w:tcW w:w="6379" w:type="dxa"/>
          </w:tcPr>
          <w:p w14:paraId="08FEE0DA" w14:textId="374DC2AA" w:rsidR="004C3BDD" w:rsidRPr="004C3BDD" w:rsidRDefault="00211D43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asākuma </w:t>
            </w:r>
            <w:r w:rsidR="00E67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</w:t>
            </w:r>
            <w:r w:rsidR="004C3BDD"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rīkošana pārējās teritorijās par katru vietu pagasta teritorijā </w:t>
            </w:r>
          </w:p>
        </w:tc>
        <w:tc>
          <w:tcPr>
            <w:tcW w:w="1446" w:type="dxa"/>
            <w:vAlign w:val="center"/>
          </w:tcPr>
          <w:p w14:paraId="3504BE13" w14:textId="77777777" w:rsidR="004C3BDD" w:rsidRPr="004C3BDD" w:rsidRDefault="004C3BDD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3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25,00</w:t>
            </w:r>
          </w:p>
        </w:tc>
      </w:tr>
      <w:tr w:rsidR="00211D43" w:rsidRPr="004C3BDD" w14:paraId="5FB1D81D" w14:textId="77777777" w:rsidTr="0053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882" w:type="dxa"/>
          </w:tcPr>
          <w:p w14:paraId="5BDAFD50" w14:textId="33755A91" w:rsidR="00211D43" w:rsidRDefault="00C741B4" w:rsidP="004C3BDD">
            <w:pPr>
              <w:spacing w:after="0" w:line="240" w:lineRule="auto"/>
              <w:ind w:left="3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211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.2.3. </w:t>
            </w:r>
          </w:p>
        </w:tc>
        <w:tc>
          <w:tcPr>
            <w:tcW w:w="6379" w:type="dxa"/>
          </w:tcPr>
          <w:p w14:paraId="7B34BBED" w14:textId="5A72AE91" w:rsidR="00211D43" w:rsidRDefault="00211D43" w:rsidP="004C3BD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Atrakcijas (karuseļi, piepūšamās atrakcijas, seju apgleznošana, zirgu izjādes u.c.) </w:t>
            </w:r>
            <w:r w:rsidR="00784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5.2.1. un 5.2.2.punktos noteiktajās teritorijās</w:t>
            </w:r>
          </w:p>
        </w:tc>
        <w:tc>
          <w:tcPr>
            <w:tcW w:w="1446" w:type="dxa"/>
            <w:vAlign w:val="center"/>
          </w:tcPr>
          <w:p w14:paraId="311A7972" w14:textId="3EB905EA" w:rsidR="00211D43" w:rsidRPr="004C3BDD" w:rsidRDefault="0078407B" w:rsidP="004C3BD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10,00</w:t>
            </w:r>
          </w:p>
        </w:tc>
      </w:tr>
    </w:tbl>
    <w:p w14:paraId="58D8E5CC" w14:textId="13F4B587" w:rsidR="00532F51" w:rsidRDefault="004C3BDD" w:rsidP="004C3BD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19CD357" w14:textId="77777777" w:rsidR="004C3BDD" w:rsidRPr="004C3BDD" w:rsidRDefault="004C3BDD" w:rsidP="004C3BD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3AD7E35" w14:textId="77777777" w:rsidR="004C3BDD" w:rsidRPr="004C3BDD" w:rsidRDefault="004C3BDD" w:rsidP="004C3B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C3B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III. Pašvaldības nodevas iekasēšanas kārtība un tās kontroles mehānisms</w:t>
      </w:r>
    </w:p>
    <w:p w14:paraId="21CF8029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A01D91" w14:textId="731051D7" w:rsidR="006F5698" w:rsidRPr="00C741B4" w:rsidRDefault="006F5698" w:rsidP="006F5698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C741B4">
        <w:t>Pašvaldības nodevas apmaksu veic pirms dokumenta vai atļaujas saņemšanas, vai noteiktas darbības veikšanas</w:t>
      </w:r>
      <w:r w:rsidRPr="00C741B4">
        <w:t xml:space="preserve">. </w:t>
      </w:r>
      <w:r w:rsidRPr="00C741B4">
        <w:t>Pašvaldības nodevu iemaksā pašvaldības budžetā, veicot bezskaidras naudas norēķinu uz vienu no pašvaldības bankas norēķinu kontiem, vai</w:t>
      </w:r>
      <w:r w:rsidR="0027403E">
        <w:t>, veicot skaidras naudas norēķinu,</w:t>
      </w:r>
      <w:r w:rsidRPr="00C741B4">
        <w:t xml:space="preserve"> pašvaldības kasēs.</w:t>
      </w:r>
    </w:p>
    <w:p w14:paraId="5B9B1C04" w14:textId="1EC9CE94" w:rsidR="006F5698" w:rsidRPr="00C741B4" w:rsidRDefault="006F5698" w:rsidP="006F5698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</w:pPr>
      <w:bookmarkStart w:id="1" w:name="p5"/>
      <w:bookmarkStart w:id="2" w:name="p-1323863"/>
      <w:bookmarkEnd w:id="1"/>
      <w:bookmarkEnd w:id="2"/>
      <w:r w:rsidRPr="00C741B4">
        <w:t>Par pašvaldības nodevas maksājuma dienu tiek uzskatīta diena, kad maksājums pilnā apjomā saņemts pašvaldības bankas kontā</w:t>
      </w:r>
      <w:r w:rsidR="0027403E">
        <w:t xml:space="preserve"> vai pašvaldības kasē</w:t>
      </w:r>
      <w:r w:rsidRPr="00C741B4">
        <w:t>. Visas ar naudas pārskaitījumu saistītās izmaksas (bankas pakalpojumi, komisijas utt.) sedz nodevas maksātājs.</w:t>
      </w:r>
    </w:p>
    <w:p w14:paraId="32FAC582" w14:textId="31AEEFA1" w:rsidR="004C3BDD" w:rsidRPr="004C3BDD" w:rsidRDefault="003B2118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4C3BDD"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ar nodevas iekasēšanas pareizību atbild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Madonas novada </w:t>
      </w:r>
      <w:r w:rsidR="004C3BDD"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Centrālās administrācijas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</w:t>
      </w:r>
      <w:r w:rsidR="004C3BDD"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inanšu nodaļa.</w:t>
      </w:r>
    </w:p>
    <w:p w14:paraId="67772F35" w14:textId="77777777" w:rsidR="004C3BDD" w:rsidRPr="004C3BDD" w:rsidRDefault="004C3BDD" w:rsidP="004C3B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C3B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Pašvaldības nodevas, kas noteiktas ar šiem noteikumiem, tiek ieskaitītas Madonas novada pašvaldības budžetā.</w:t>
      </w:r>
    </w:p>
    <w:p w14:paraId="797FB192" w14:textId="77777777" w:rsidR="0050556F" w:rsidRDefault="0050556F" w:rsidP="004C3B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B7ED011" w14:textId="77777777" w:rsidR="0050556F" w:rsidRDefault="0050556F" w:rsidP="004C3B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0A51282" w14:textId="7D7740A8" w:rsidR="004C3BDD" w:rsidRPr="004C3BDD" w:rsidRDefault="004C3BDD" w:rsidP="00505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4C3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 xml:space="preserve">Domes priekšsēdētājs </w:t>
      </w:r>
      <w:r w:rsidRPr="004C3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ab/>
      </w:r>
      <w:r w:rsidRPr="004C3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ab/>
      </w:r>
      <w:r w:rsidRPr="004C3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ab/>
      </w:r>
      <w:r w:rsidRPr="004C3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ab/>
      </w:r>
      <w:r w:rsidR="00A33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ab/>
      </w:r>
      <w:r w:rsidR="00A33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ab/>
      </w:r>
      <w:proofErr w:type="spellStart"/>
      <w:r w:rsidRPr="004C3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A.Lungevičs</w:t>
      </w:r>
      <w:proofErr w:type="spellEnd"/>
    </w:p>
    <w:p w14:paraId="47C3DA32" w14:textId="77777777" w:rsidR="004C3BDD" w:rsidRPr="004C3BDD" w:rsidRDefault="004C3BDD" w:rsidP="004C3B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F968941" w14:textId="77777777" w:rsidR="004C3BDD" w:rsidRPr="004C3BDD" w:rsidRDefault="004C3BDD" w:rsidP="004C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0D1C5B55" w14:textId="77777777" w:rsidR="004C3BDD" w:rsidRPr="004C3BDD" w:rsidRDefault="004C3BDD" w:rsidP="004C3B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3E881C1" w14:textId="77777777" w:rsidR="004C3BDD" w:rsidRPr="004C3BDD" w:rsidRDefault="004C3BDD" w:rsidP="004C3BD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142F372" w14:textId="77777777" w:rsidR="00F52BDC" w:rsidRDefault="00F52BDC"/>
    <w:sectPr w:rsidR="00F52BDC" w:rsidSect="008D216B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9397" w14:textId="77777777" w:rsidR="008D216B" w:rsidRDefault="000723F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18F6D3" w14:textId="77777777" w:rsidR="008D216B" w:rsidRDefault="000723FF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61601"/>
    <w:multiLevelType w:val="multilevel"/>
    <w:tmpl w:val="A8A2D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D"/>
    <w:rsid w:val="000723FF"/>
    <w:rsid w:val="000826E5"/>
    <w:rsid w:val="00133FAC"/>
    <w:rsid w:val="001B64E4"/>
    <w:rsid w:val="0020558D"/>
    <w:rsid w:val="00211D43"/>
    <w:rsid w:val="0027403E"/>
    <w:rsid w:val="002C7B56"/>
    <w:rsid w:val="00305939"/>
    <w:rsid w:val="0032102F"/>
    <w:rsid w:val="003B2118"/>
    <w:rsid w:val="004C3BDD"/>
    <w:rsid w:val="004D4FC9"/>
    <w:rsid w:val="0050556F"/>
    <w:rsid w:val="00532F51"/>
    <w:rsid w:val="006055B1"/>
    <w:rsid w:val="006F5698"/>
    <w:rsid w:val="00730584"/>
    <w:rsid w:val="0078407B"/>
    <w:rsid w:val="009A0806"/>
    <w:rsid w:val="009F4F7F"/>
    <w:rsid w:val="00A33FAC"/>
    <w:rsid w:val="00A3602C"/>
    <w:rsid w:val="00C741B4"/>
    <w:rsid w:val="00D42171"/>
    <w:rsid w:val="00E44803"/>
    <w:rsid w:val="00E67E0E"/>
    <w:rsid w:val="00F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8A75"/>
  <w15:chartTrackingRefBased/>
  <w15:docId w15:val="{9199E81F-0FD6-4C2A-AD12-A1252A68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4C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4C3BDD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C3BD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4C3BDD"/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4C3BDD"/>
    <w:rPr>
      <w:color w:val="0000FF"/>
      <w:u w:val="single"/>
    </w:rPr>
  </w:style>
  <w:style w:type="paragraph" w:customStyle="1" w:styleId="tv213">
    <w:name w:val="tv213"/>
    <w:basedOn w:val="Parasts"/>
    <w:rsid w:val="006F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C7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946-par-nodokliem-un-nodevam" TargetMode="External"/><Relationship Id="rId5" Type="http://schemas.openxmlformats.org/officeDocument/2006/relationships/hyperlink" Target="https://likumi.lv/ta/id/33946-par-nodokliem-un-node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Evita Zāle</cp:lastModifiedBy>
  <cp:revision>1</cp:revision>
  <dcterms:created xsi:type="dcterms:W3CDTF">2026-03-17T09:20:00Z</dcterms:created>
  <dcterms:modified xsi:type="dcterms:W3CDTF">2026-03-17T13:58:00Z</dcterms:modified>
</cp:coreProperties>
</file>